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B7E1685" w14:textId="77777777" w:rsidR="00B3418F" w:rsidRDefault="007F2503">
      <w:pPr>
        <w:pStyle w:val="normal0"/>
      </w:pPr>
      <w:bookmarkStart w:id="0" w:name="h.gjdgxs" w:colFirst="0" w:colLast="0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0" hidden="0" allowOverlap="0" wp14:anchorId="540B499F" wp14:editId="5014293C">
            <wp:simplePos x="0" y="0"/>
            <wp:positionH relativeFrom="margin">
              <wp:posOffset>-416559</wp:posOffset>
            </wp:positionH>
            <wp:positionV relativeFrom="paragraph">
              <wp:posOffset>-195579</wp:posOffset>
            </wp:positionV>
            <wp:extent cx="7024624" cy="654050"/>
            <wp:effectExtent l="3175" t="3175" r="3175" b="3175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 l="13622" t="21367" r="14744" b="66380"/>
                    <a:stretch>
                      <a:fillRect/>
                    </a:stretch>
                  </pic:blipFill>
                  <pic:spPr>
                    <a:xfrm>
                      <a:off x="0" y="0"/>
                      <a:ext cx="7024624" cy="654050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F32C0FD" w14:textId="77777777" w:rsidR="00B3418F" w:rsidRDefault="00B3418F">
      <w:pPr>
        <w:pStyle w:val="normal0"/>
      </w:pPr>
    </w:p>
    <w:p w14:paraId="79226720" w14:textId="77777777" w:rsidR="00B3418F" w:rsidRDefault="00B3418F">
      <w:pPr>
        <w:pStyle w:val="normal0"/>
      </w:pPr>
    </w:p>
    <w:p w14:paraId="37DB1FD3" w14:textId="77777777" w:rsidR="00B3418F" w:rsidRDefault="00B3418F">
      <w:pPr>
        <w:pStyle w:val="normal0"/>
      </w:pPr>
    </w:p>
    <w:p w14:paraId="6C60BC63" w14:textId="77777777" w:rsidR="00B3418F" w:rsidRDefault="007F2503">
      <w:pPr>
        <w:pStyle w:val="normal0"/>
        <w:jc w:val="center"/>
      </w:pPr>
      <w:r>
        <w:rPr>
          <w:rFonts w:ascii="Calibri" w:eastAsia="Calibri" w:hAnsi="Calibri" w:cs="Calibri"/>
          <w:b/>
          <w:sz w:val="36"/>
          <w:szCs w:val="36"/>
          <w:vertAlign w:val="superscript"/>
        </w:rPr>
        <w:t>FNH 480 Professional Dietetic Practice III</w:t>
      </w:r>
    </w:p>
    <w:p w14:paraId="562820E4" w14:textId="77777777" w:rsidR="00B3418F" w:rsidRDefault="007F2503">
      <w:pPr>
        <w:pStyle w:val="normal0"/>
        <w:jc w:val="center"/>
      </w:pPr>
      <w:r>
        <w:rPr>
          <w:rFonts w:ascii="Calibri" w:eastAsia="Calibri" w:hAnsi="Calibri" w:cs="Calibri"/>
          <w:b/>
          <w:sz w:val="36"/>
          <w:szCs w:val="36"/>
          <w:vertAlign w:val="superscript"/>
        </w:rPr>
        <w:t>May 2-20, 2016</w:t>
      </w:r>
    </w:p>
    <w:p w14:paraId="5C82BFA4" w14:textId="77777777" w:rsidR="00B3418F" w:rsidRDefault="007F2503">
      <w:pPr>
        <w:pStyle w:val="normal0"/>
        <w:jc w:val="center"/>
      </w:pPr>
      <w:r>
        <w:rPr>
          <w:rFonts w:ascii="Calibri" w:eastAsia="Calibri" w:hAnsi="Calibri" w:cs="Calibri"/>
          <w:b/>
          <w:sz w:val="36"/>
          <w:szCs w:val="36"/>
          <w:vertAlign w:val="superscript"/>
        </w:rPr>
        <w:t>Summary of Media Reviewed and Created</w:t>
      </w:r>
    </w:p>
    <w:p w14:paraId="1EFED73D" w14:textId="77777777" w:rsidR="00B3418F" w:rsidRDefault="00B3418F">
      <w:pPr>
        <w:pStyle w:val="normal0"/>
      </w:pPr>
    </w:p>
    <w:p w14:paraId="3193FEC7" w14:textId="77777777" w:rsidR="00B3418F" w:rsidRDefault="007F2503">
      <w:pPr>
        <w:pStyle w:val="normal0"/>
      </w:pPr>
      <w:bookmarkStart w:id="1" w:name="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  <w:r>
        <w:rPr>
          <w:rFonts w:ascii="Calibri" w:eastAsia="Calibri" w:hAnsi="Calibri" w:cs="Calibri"/>
          <w:sz w:val="22"/>
          <w:szCs w:val="22"/>
        </w:rPr>
        <w:t>May 18th, 2016</w:t>
      </w:r>
    </w:p>
    <w:p w14:paraId="15A1D3F0" w14:textId="77777777" w:rsidR="00B3418F" w:rsidRDefault="007F2503">
      <w:pPr>
        <w:pStyle w:val="normal0"/>
      </w:pPr>
      <w:bookmarkStart w:id="2" w:name="h.1fob9te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Group number: 1 (Fraser I) </w:t>
      </w:r>
      <w:r>
        <w:rPr>
          <w:rFonts w:ascii="Calibri" w:eastAsia="Calibri" w:hAnsi="Calibri" w:cs="Calibri"/>
          <w:sz w:val="22"/>
          <w:szCs w:val="22"/>
        </w:rPr>
        <w:t>     </w:t>
      </w:r>
    </w:p>
    <w:p w14:paraId="7C4C6823" w14:textId="77777777" w:rsidR="00B3418F" w:rsidRDefault="007F2503">
      <w:pPr>
        <w:pStyle w:val="normal0"/>
      </w:pPr>
      <w:bookmarkStart w:id="3" w:name="h.3znysh7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Assigned 2015 Wiki for review: </w:t>
      </w:r>
      <w:r>
        <w:rPr>
          <w:rFonts w:ascii="Calibri" w:eastAsia="Calibri" w:hAnsi="Calibri" w:cs="Calibri"/>
          <w:sz w:val="22"/>
          <w:szCs w:val="22"/>
        </w:rPr>
        <w:t>Nutrition Counselling </w:t>
      </w:r>
    </w:p>
    <w:p w14:paraId="1A4411A2" w14:textId="77777777" w:rsidR="00B3418F" w:rsidRDefault="007F2503">
      <w:pPr>
        <w:pStyle w:val="normal0"/>
      </w:pPr>
      <w:r>
        <w:rPr>
          <w:rFonts w:ascii="Calibri" w:eastAsia="Calibri" w:hAnsi="Calibri" w:cs="Calibri"/>
          <w:b/>
          <w:sz w:val="22"/>
          <w:szCs w:val="22"/>
        </w:rPr>
        <w:t xml:space="preserve">2016 Topic: </w:t>
      </w:r>
      <w:r>
        <w:rPr>
          <w:rFonts w:ascii="Calibri" w:eastAsia="Calibri" w:hAnsi="Calibri" w:cs="Calibri"/>
          <w:sz w:val="22"/>
          <w:szCs w:val="22"/>
        </w:rPr>
        <w:t>Effective Approaches to Addressing Client Questions</w:t>
      </w:r>
    </w:p>
    <w:p w14:paraId="406544B3" w14:textId="77777777" w:rsidR="00B3418F" w:rsidRDefault="00B3418F">
      <w:pPr>
        <w:pStyle w:val="normal0"/>
      </w:pPr>
    </w:p>
    <w:p w14:paraId="0809607F" w14:textId="77777777" w:rsidR="00B3418F" w:rsidRDefault="007F2503">
      <w:pPr>
        <w:pStyle w:val="normal0"/>
      </w:pPr>
      <w:r>
        <w:rPr>
          <w:rFonts w:ascii="Calibri" w:eastAsia="Calibri" w:hAnsi="Calibri" w:cs="Calibri"/>
          <w:b/>
          <w:sz w:val="22"/>
          <w:szCs w:val="22"/>
        </w:rPr>
        <w:t xml:space="preserve">Description:  </w:t>
      </w:r>
      <w:r>
        <w:rPr>
          <w:rFonts w:ascii="Calibri" w:eastAsia="Calibri" w:hAnsi="Calibri" w:cs="Calibri"/>
          <w:sz w:val="22"/>
          <w:szCs w:val="22"/>
        </w:rPr>
        <w:t xml:space="preserve">A document template for use as part of the </w:t>
      </w:r>
      <w:r>
        <w:rPr>
          <w:rFonts w:ascii="Calibri" w:eastAsia="Calibri" w:hAnsi="Calibri" w:cs="Calibri"/>
          <w:i/>
          <w:sz w:val="22"/>
          <w:szCs w:val="22"/>
        </w:rPr>
        <w:t>Educational Media Assignment</w:t>
      </w:r>
      <w:r>
        <w:rPr>
          <w:rFonts w:ascii="Calibri" w:eastAsia="Calibri" w:hAnsi="Calibri" w:cs="Calibri"/>
          <w:sz w:val="22"/>
          <w:szCs w:val="22"/>
        </w:rPr>
        <w:t>, to summarize educational media reviewed and created.</w:t>
      </w:r>
    </w:p>
    <w:p w14:paraId="6AC796F7" w14:textId="77777777" w:rsidR="00B3418F" w:rsidRDefault="00B3418F">
      <w:pPr>
        <w:pStyle w:val="normal0"/>
      </w:pPr>
    </w:p>
    <w:p w14:paraId="05F76FBB" w14:textId="77777777" w:rsidR="00B3418F" w:rsidRDefault="007F2503">
      <w:pPr>
        <w:pStyle w:val="normal0"/>
      </w:pPr>
      <w:r>
        <w:rPr>
          <w:rFonts w:ascii="Calibri" w:eastAsia="Calibri" w:hAnsi="Calibri" w:cs="Calibri"/>
          <w:b/>
          <w:sz w:val="22"/>
          <w:szCs w:val="22"/>
        </w:rPr>
        <w:t>Instructions:</w:t>
      </w:r>
    </w:p>
    <w:p w14:paraId="0085FEED" w14:textId="77777777" w:rsidR="00B3418F" w:rsidRDefault="007F2503">
      <w:pPr>
        <w:pStyle w:val="normal0"/>
      </w:pPr>
      <w:r>
        <w:rPr>
          <w:rFonts w:ascii="Calibri" w:eastAsia="Calibri" w:hAnsi="Calibri" w:cs="Calibri"/>
          <w:sz w:val="22"/>
          <w:szCs w:val="22"/>
        </w:rPr>
        <w:t>Complete this worksheet as a team to document th</w:t>
      </w:r>
      <w:r>
        <w:rPr>
          <w:rFonts w:ascii="Calibri" w:eastAsia="Calibri" w:hAnsi="Calibri" w:cs="Calibri"/>
          <w:sz w:val="22"/>
          <w:szCs w:val="22"/>
        </w:rPr>
        <w:t xml:space="preserve">e existing educational media you have reviewed, and new educational media you have created. 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2F918119" w14:textId="77777777" w:rsidR="00B3418F" w:rsidRDefault="007F2503">
      <w:pPr>
        <w:pStyle w:val="normal0"/>
      </w:pPr>
      <w:r>
        <w:rPr>
          <w:rFonts w:ascii="Calibri" w:eastAsia="Calibri" w:hAnsi="Calibri" w:cs="Calibri"/>
          <w:b/>
          <w:sz w:val="22"/>
          <w:szCs w:val="22"/>
        </w:rPr>
        <w:t>Due Date:</w:t>
      </w:r>
    </w:p>
    <w:p w14:paraId="7C125BFE" w14:textId="77777777" w:rsidR="00B3418F" w:rsidRDefault="007F2503">
      <w:pPr>
        <w:pStyle w:val="normal0"/>
      </w:pPr>
      <w:r>
        <w:rPr>
          <w:rFonts w:ascii="Calibri" w:eastAsia="Calibri" w:hAnsi="Calibri" w:cs="Calibri"/>
          <w:b/>
          <w:sz w:val="22"/>
          <w:szCs w:val="22"/>
        </w:rPr>
        <w:t>Sunday, May 22, 2015 (Midnight):</w:t>
      </w:r>
    </w:p>
    <w:p w14:paraId="676028A7" w14:textId="77777777" w:rsidR="00B3418F" w:rsidRDefault="007F2503">
      <w:pPr>
        <w:pStyle w:val="normal0"/>
        <w:numPr>
          <w:ilvl w:val="2"/>
          <w:numId w:val="7"/>
        </w:numPr>
        <w:ind w:hanging="360"/>
        <w:contextualSpacing/>
      </w:pPr>
      <w:r>
        <w:rPr>
          <w:rFonts w:ascii="Calibri" w:eastAsia="Calibri" w:hAnsi="Calibri" w:cs="Calibri"/>
          <w:sz w:val="22"/>
          <w:szCs w:val="22"/>
        </w:rPr>
        <w:t>Upload document to the Educational Media tab within your FNH 480 topic blog</w:t>
      </w:r>
      <w:r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B3418F" w14:paraId="1A437135" w14:textId="77777777">
        <w:trPr>
          <w:trHeight w:val="180"/>
        </w:trPr>
        <w:tc>
          <w:tcPr>
            <w:tcW w:w="9576" w:type="dxa"/>
            <w:gridSpan w:val="2"/>
            <w:shd w:val="clear" w:color="auto" w:fill="74A33D"/>
          </w:tcPr>
          <w:p w14:paraId="6F047D2F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A.  REVIEW OF ASSIGNED CONTENT AREA FROM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THE PREVIOUS YEAR</w:t>
            </w:r>
          </w:p>
        </w:tc>
      </w:tr>
      <w:tr w:rsidR="00B3418F" w14:paraId="3C5B0DD8" w14:textId="77777777">
        <w:trPr>
          <w:trHeight w:val="180"/>
        </w:trPr>
        <w:tc>
          <w:tcPr>
            <w:tcW w:w="9576" w:type="dxa"/>
            <w:gridSpan w:val="2"/>
          </w:tcPr>
          <w:p w14:paraId="285ABEEB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TOPIC: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Effective Approaches to Addressing Client Questions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WIKI: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Nutrition Counselling</w:t>
            </w:r>
          </w:p>
        </w:tc>
      </w:tr>
      <w:tr w:rsidR="00B3418F" w14:paraId="3B55B64F" w14:textId="77777777">
        <w:trPr>
          <w:trHeight w:val="180"/>
        </w:trPr>
        <w:tc>
          <w:tcPr>
            <w:tcW w:w="4788" w:type="dxa"/>
          </w:tcPr>
          <w:p w14:paraId="0C2EF475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</w:t>
            </w:r>
          </w:p>
        </w:tc>
        <w:tc>
          <w:tcPr>
            <w:tcW w:w="4788" w:type="dxa"/>
          </w:tcPr>
          <w:p w14:paraId="0064EFF2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EXPLANATORY NOTES</w:t>
            </w:r>
          </w:p>
        </w:tc>
      </w:tr>
      <w:tr w:rsidR="00B3418F" w14:paraId="13A84062" w14:textId="77777777">
        <w:trPr>
          <w:trHeight w:val="180"/>
        </w:trPr>
        <w:tc>
          <w:tcPr>
            <w:tcW w:w="4788" w:type="dxa"/>
          </w:tcPr>
          <w:p w14:paraId="623FD2A9" w14:textId="77777777" w:rsidR="00B3418F" w:rsidRDefault="007F2503">
            <w:pPr>
              <w:pStyle w:val="normal0"/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Critical review of the posted material:</w:t>
            </w:r>
          </w:p>
        </w:tc>
        <w:tc>
          <w:tcPr>
            <w:tcW w:w="4788" w:type="dxa"/>
          </w:tcPr>
          <w:p w14:paraId="45817D14" w14:textId="77777777" w:rsidR="00B3418F" w:rsidRDefault="00B3418F">
            <w:pPr>
              <w:pStyle w:val="normal0"/>
              <w:contextualSpacing w:val="0"/>
            </w:pPr>
          </w:p>
        </w:tc>
      </w:tr>
      <w:tr w:rsidR="00B3418F" w14:paraId="20816977" w14:textId="77777777">
        <w:trPr>
          <w:trHeight w:val="180"/>
        </w:trPr>
        <w:tc>
          <w:tcPr>
            <w:tcW w:w="4788" w:type="dxa"/>
          </w:tcPr>
          <w:p w14:paraId="38BABA75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material posted centrally relevant to the learning needs of pre-internship students?</w:t>
            </w:r>
          </w:p>
        </w:tc>
        <w:tc>
          <w:tcPr>
            <w:tcW w:w="4788" w:type="dxa"/>
          </w:tcPr>
          <w:p w14:paraId="6E8FDF96" w14:textId="77777777" w:rsidR="00B3418F" w:rsidRDefault="007F2503">
            <w:pPr>
              <w:pStyle w:val="normal0"/>
              <w:numPr>
                <w:ilvl w:val="0"/>
                <w:numId w:val="2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Yes, it is very comprehensive and split into clear categories: self-reflection for learning, knowledge, skills, tips for talking to patients, building confidence. All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hese were identified as areas of interest/learning needs of pre-internship students in the initial needs assessment presentation. </w:t>
            </w:r>
          </w:p>
        </w:tc>
      </w:tr>
      <w:tr w:rsidR="00B3418F" w14:paraId="594E516C" w14:textId="77777777">
        <w:trPr>
          <w:trHeight w:val="180"/>
        </w:trPr>
        <w:tc>
          <w:tcPr>
            <w:tcW w:w="4788" w:type="dxa"/>
          </w:tcPr>
          <w:p w14:paraId="1FB7CA55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the material current and based on evidence?</w:t>
            </w:r>
          </w:p>
        </w:tc>
        <w:tc>
          <w:tcPr>
            <w:tcW w:w="4788" w:type="dxa"/>
          </w:tcPr>
          <w:p w14:paraId="68D9D905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Yes, for example the building confidence section includes book references tha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are from 2007 or newer</w:t>
            </w:r>
          </w:p>
          <w:p w14:paraId="08679339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YouTube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video was from 2015</w:t>
            </w:r>
          </w:p>
          <w:p w14:paraId="0887B599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books and web links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are all open and accessible through the wiki page after our adjustments were made</w:t>
            </w:r>
          </w:p>
        </w:tc>
      </w:tr>
      <w:tr w:rsidR="00B3418F" w14:paraId="04ABA208" w14:textId="77777777">
        <w:trPr>
          <w:trHeight w:val="180"/>
        </w:trPr>
        <w:tc>
          <w:tcPr>
            <w:tcW w:w="4788" w:type="dxa"/>
          </w:tcPr>
          <w:p w14:paraId="2C9687D5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Does the material align to principles of adult education? (E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.g., focus on need to know information, varied approaches 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learning used – not just a block of text, material organized to facilitate ease of access and review)</w:t>
            </w:r>
          </w:p>
        </w:tc>
        <w:tc>
          <w:tcPr>
            <w:tcW w:w="4788" w:type="dxa"/>
          </w:tcPr>
          <w:p w14:paraId="25E5C9ED" w14:textId="77777777" w:rsidR="00B3418F" w:rsidRDefault="007F2503">
            <w:pPr>
              <w:pStyle w:val="normal0"/>
              <w:numPr>
                <w:ilvl w:val="0"/>
                <w:numId w:val="5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The material in this wiki come in a variety of formats ranging from videos, handouts, voice recordings and info graphics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information was presented in clear concise points and not in a large block of text, making the navigation of the wiki page user fri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endly. Links were also split into sections that promoted easy access and books/articles/puff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links are useful. The short bullet points under the links summarizing the document were effective for adult learning, which may be time sensitive learning. </w:t>
            </w:r>
          </w:p>
          <w:p w14:paraId="7B8050E0" w14:textId="77777777" w:rsidR="00B3418F" w:rsidRDefault="007F2503">
            <w:pPr>
              <w:pStyle w:val="normal0"/>
              <w:numPr>
                <w:ilvl w:val="0"/>
                <w:numId w:val="5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are bolded and topics easily found in each of the sections</w:t>
            </w:r>
          </w:p>
        </w:tc>
      </w:tr>
      <w:tr w:rsidR="00B3418F" w14:paraId="22CF4E9A" w14:textId="77777777">
        <w:trPr>
          <w:trHeight w:val="180"/>
        </w:trPr>
        <w:tc>
          <w:tcPr>
            <w:tcW w:w="4788" w:type="dxa"/>
          </w:tcPr>
          <w:p w14:paraId="4773BBBC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Does the material comply with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copyright requirements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788" w:type="dxa"/>
          </w:tcPr>
          <w:p w14:paraId="3DF6094B" w14:textId="77777777" w:rsidR="00B3418F" w:rsidRDefault="007F2503">
            <w:pPr>
              <w:pStyle w:val="normal0"/>
              <w:numPr>
                <w:ilvl w:val="0"/>
                <w:numId w:val="10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Yes, based on the information provided all copyrig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ht laws are met. </w:t>
            </w:r>
          </w:p>
        </w:tc>
      </w:tr>
      <w:tr w:rsidR="00B3418F" w14:paraId="20A4D389" w14:textId="77777777">
        <w:trPr>
          <w:trHeight w:val="180"/>
        </w:trPr>
        <w:tc>
          <w:tcPr>
            <w:tcW w:w="4788" w:type="dxa"/>
          </w:tcPr>
          <w:p w14:paraId="060720F2" w14:textId="77777777" w:rsidR="00B3418F" w:rsidRDefault="007F2503">
            <w:pPr>
              <w:pStyle w:val="normal0"/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As needed, based on the findings of your review:</w:t>
            </w:r>
          </w:p>
        </w:tc>
        <w:tc>
          <w:tcPr>
            <w:tcW w:w="4788" w:type="dxa"/>
          </w:tcPr>
          <w:p w14:paraId="5A87A3D4" w14:textId="77777777" w:rsidR="00B3418F" w:rsidRDefault="00B3418F">
            <w:pPr>
              <w:pStyle w:val="normal0"/>
              <w:contextualSpacing w:val="0"/>
            </w:pPr>
          </w:p>
        </w:tc>
      </w:tr>
      <w:tr w:rsidR="00B3418F" w14:paraId="078A3654" w14:textId="77777777">
        <w:trPr>
          <w:trHeight w:val="180"/>
        </w:trPr>
        <w:tc>
          <w:tcPr>
            <w:tcW w:w="4788" w:type="dxa"/>
          </w:tcPr>
          <w:p w14:paraId="6E53E83D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Revise the wiki.</w:t>
            </w:r>
          </w:p>
        </w:tc>
        <w:tc>
          <w:tcPr>
            <w:tcW w:w="4788" w:type="dxa"/>
          </w:tcPr>
          <w:p w14:paraId="24015237" w14:textId="77777777" w:rsidR="00B3418F" w:rsidRDefault="007F2503">
            <w:pPr>
              <w:pStyle w:val="normal0"/>
              <w:numPr>
                <w:ilvl w:val="0"/>
                <w:numId w:val="9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h.qkbgwkwaocsl" w:colFirst="0" w:colLast="0"/>
            <w:bookmarkEnd w:id="4"/>
            <w:r>
              <w:rPr>
                <w:rFonts w:ascii="Calibri" w:eastAsia="Calibri" w:hAnsi="Calibri" w:cs="Calibri"/>
                <w:sz w:val="22"/>
                <w:szCs w:val="22"/>
              </w:rPr>
              <w:t>We added our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 approaches to addressing client questions,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 there was not any information regarding this specific topic. The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was based on input from current dieticians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interns.</w:t>
            </w:r>
          </w:p>
          <w:p w14:paraId="61BBCABD" w14:textId="77777777" w:rsidR="00B3418F" w:rsidRDefault="007F2503">
            <w:pPr>
              <w:pStyle w:val="normal0"/>
              <w:numPr>
                <w:ilvl w:val="0"/>
                <w:numId w:val="8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h.728s2l54bl79" w:colFirst="0" w:colLast="0"/>
            <w:bookmarkEnd w:id="5"/>
            <w:r>
              <w:rPr>
                <w:rFonts w:ascii="Calibri" w:eastAsia="Calibri" w:hAnsi="Calibri" w:cs="Calibri"/>
                <w:sz w:val="22"/>
                <w:szCs w:val="22"/>
              </w:rPr>
              <w:t>We removed any inactive links</w:t>
            </w:r>
          </w:p>
          <w:p w14:paraId="7C5DAECA" w14:textId="77777777" w:rsidR="00B3418F" w:rsidRDefault="007F2503">
            <w:pPr>
              <w:pStyle w:val="normal0"/>
              <w:numPr>
                <w:ilvl w:val="0"/>
                <w:numId w:val="8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h.uqgecygwmoer" w:colFirst="0" w:colLast="0"/>
            <w:bookmarkEnd w:id="6"/>
            <w:r>
              <w:rPr>
                <w:rFonts w:ascii="Calibri" w:eastAsia="Calibri" w:hAnsi="Calibri" w:cs="Calibri"/>
                <w:sz w:val="22"/>
                <w:szCs w:val="22"/>
              </w:rPr>
              <w:t>We did some formatti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to make it look more visually appealing </w:t>
            </w:r>
          </w:p>
          <w:p w14:paraId="31077E6F" w14:textId="77777777" w:rsidR="00B3418F" w:rsidRDefault="007F2503">
            <w:pPr>
              <w:pStyle w:val="normal0"/>
              <w:numPr>
                <w:ilvl w:val="0"/>
                <w:numId w:val="8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bookmarkStart w:id="7" w:name="h.2et92p0" w:colFirst="0" w:colLast="0"/>
            <w:bookmarkEnd w:id="7"/>
            <w:r>
              <w:rPr>
                <w:rFonts w:ascii="Calibri" w:eastAsia="Calibri" w:hAnsi="Calibri" w:cs="Calibri"/>
                <w:sz w:val="22"/>
                <w:szCs w:val="22"/>
              </w:rPr>
              <w:t>We looked into each of the resources to check the material for relevancy</w:t>
            </w:r>
          </w:p>
        </w:tc>
      </w:tr>
      <w:tr w:rsidR="00B3418F" w14:paraId="7715D661" w14:textId="77777777">
        <w:trPr>
          <w:trHeight w:val="180"/>
        </w:trPr>
        <w:tc>
          <w:tcPr>
            <w:tcW w:w="4788" w:type="dxa"/>
          </w:tcPr>
          <w:p w14:paraId="5C52EB5D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Revise pertinent section of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master wiki landing page.</w:t>
              </w:r>
            </w:hyperlink>
            <w:hyperlink r:id="rId11"/>
          </w:p>
        </w:tc>
        <w:tc>
          <w:tcPr>
            <w:tcW w:w="4788" w:type="dxa"/>
          </w:tcPr>
          <w:p w14:paraId="741C271F" w14:textId="77777777" w:rsidR="00B3418F" w:rsidRDefault="007F2503">
            <w:pPr>
              <w:pStyle w:val="normal0"/>
              <w:contextualSpacing w:val="0"/>
            </w:pPr>
            <w:hyperlink r:id="rId12">
              <w:r>
                <w:rPr>
                  <w:rFonts w:ascii="Calibri" w:eastAsia="Calibri" w:hAnsi="Calibri" w:cs="Calibri"/>
                  <w:sz w:val="22"/>
                  <w:szCs w:val="22"/>
                </w:rPr>
                <w:t>No</w:t>
              </w:r>
            </w:hyperlink>
            <w:hyperlink r:id="rId13"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t necessary. The wiki is still under </w:t>
              </w:r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section 3, professional development and is paired with the critical thinking section.  We did not need to add a wiki page for our assignment. </w:t>
              </w:r>
            </w:hyperlink>
            <w:hyperlink r:id="rId14"/>
          </w:p>
        </w:tc>
      </w:tr>
      <w:tr w:rsidR="00B3418F" w14:paraId="36319B7F" w14:textId="77777777">
        <w:trPr>
          <w:trHeight w:val="180"/>
        </w:trPr>
        <w:tc>
          <w:tcPr>
            <w:tcW w:w="4788" w:type="dxa"/>
          </w:tcPr>
          <w:p w14:paraId="1BCE4CD7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Remove links to resources that have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ow relevance to student learning, are out of date, not presented according to adult learning principles, and/or are not compliant with </w:t>
            </w: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copyright requirements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4788" w:type="dxa"/>
          </w:tcPr>
          <w:p w14:paraId="5466827C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3 under the self-reflection for learning section were not working so we removed them. As they discussed a lot of similar things we have covered in the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already we did not feel the need to replace them</w:t>
            </w:r>
          </w:p>
          <w:p w14:paraId="7BA8B997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 the knowledge section:  Removed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and weight management links as they were inactive </w:t>
            </w:r>
          </w:p>
          <w:p w14:paraId="12E4E14D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 the tips for talking to patients: Added several additional points that were highlighted from our class discussion, two links (specified below) were added, as well as our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To ensure tha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everything was uniform, the bullet points in this section were correct to match and spacing errors were corrected. </w:t>
            </w:r>
          </w:p>
          <w:p w14:paraId="71A3FBCB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Under building confidence: nothing was changed,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 all the links were still active and relevant. Added a newer edition of “Counselling Skills for Dieticians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 As it has more recent research etc.</w:t>
            </w:r>
          </w:p>
          <w:p w14:paraId="3AFF9D1F" w14:textId="77777777" w:rsidR="00B3418F" w:rsidRDefault="007F2503">
            <w:pPr>
              <w:pStyle w:val="normal0"/>
              <w:numPr>
                <w:ilvl w:val="0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 Skills: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removed link to MIA step to MI,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as it was inactive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link. Remove article from MI Institute about MI because inactive link. </w:t>
            </w:r>
          </w:p>
          <w:p w14:paraId="7B3B8A32" w14:textId="77777777" w:rsidR="00B3418F" w:rsidRDefault="007F2503">
            <w:pPr>
              <w:pStyle w:val="normal0"/>
              <w:numPr>
                <w:ilvl w:val="1"/>
                <w:numId w:val="3"/>
              </w:numPr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Replaced link with actual PDF file for Motivational Interviewing in Health Settings: A review</w:t>
            </w:r>
          </w:p>
        </w:tc>
      </w:tr>
      <w:tr w:rsidR="00B3418F" w14:paraId="38DFFEDD" w14:textId="77777777">
        <w:trPr>
          <w:trHeight w:val="180"/>
        </w:trPr>
        <w:tc>
          <w:tcPr>
            <w:tcW w:w="4788" w:type="dxa"/>
          </w:tcPr>
          <w:p w14:paraId="28273061" w14:textId="77777777" w:rsidR="00B3418F" w:rsidRDefault="007F2503">
            <w:pPr>
              <w:pStyle w:val="normal0"/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Add new/updated resource links.</w:t>
            </w:r>
          </w:p>
        </w:tc>
        <w:tc>
          <w:tcPr>
            <w:tcW w:w="4788" w:type="dxa"/>
          </w:tcPr>
          <w:p w14:paraId="0277B988" w14:textId="77777777" w:rsidR="00B3418F" w:rsidRDefault="007F2503">
            <w:pPr>
              <w:pStyle w:val="normal0"/>
              <w:spacing w:line="276" w:lineRule="auto"/>
              <w:ind w:left="72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added a new nutrition based source we found useful in coping with difficult clients and questions was: </w:t>
            </w:r>
          </w:p>
          <w:p w14:paraId="4615440A" w14:textId="77777777" w:rsidR="00B3418F" w:rsidRDefault="007F2503">
            <w:pPr>
              <w:pStyle w:val="normal0"/>
              <w:numPr>
                <w:ilvl w:val="1"/>
                <w:numId w:val="6"/>
              </w:numPr>
              <w:spacing w:line="276" w:lineRule="auto"/>
              <w:ind w:hanging="360"/>
              <w:rPr>
                <w:rFonts w:ascii="Calibri" w:eastAsia="Calibri" w:hAnsi="Calibri" w:cs="Calibri"/>
                <w:sz w:val="22"/>
                <w:szCs w:val="22"/>
              </w:rPr>
            </w:pPr>
            <w:hyperlink r:id="rId16"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http://www.nutrition411.com/articles/difficult-patients-how-</w:t>
              </w:r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cope-them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4413CDB" w14:textId="77777777" w:rsidR="00B3418F" w:rsidRDefault="00B3418F">
      <w:pPr>
        <w:pStyle w:val="normal0"/>
      </w:pP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B3418F" w14:paraId="7F1EEBDB" w14:textId="77777777">
        <w:trPr>
          <w:trHeight w:val="180"/>
        </w:trPr>
        <w:tc>
          <w:tcPr>
            <w:tcW w:w="9576" w:type="dxa"/>
            <w:gridSpan w:val="2"/>
            <w:shd w:val="clear" w:color="auto" w:fill="0C2344"/>
          </w:tcPr>
          <w:p w14:paraId="55C8457F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B.  REVIEW OF ASSIGNED CONTENT AREA FOR THE CURRENT YEAR</w:t>
            </w:r>
          </w:p>
        </w:tc>
      </w:tr>
      <w:tr w:rsidR="00B3418F" w14:paraId="3CE899A0" w14:textId="77777777">
        <w:trPr>
          <w:trHeight w:val="180"/>
        </w:trPr>
        <w:tc>
          <w:tcPr>
            <w:tcW w:w="9576" w:type="dxa"/>
            <w:gridSpan w:val="2"/>
          </w:tcPr>
          <w:p w14:paraId="604B1EC7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TOPIC: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Effective Approaches to Addressing Client Questions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WIKI: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Nutrition Counselling       </w:t>
            </w:r>
          </w:p>
        </w:tc>
      </w:tr>
      <w:tr w:rsidR="00B3418F" w14:paraId="0CB7FA8B" w14:textId="77777777">
        <w:trPr>
          <w:trHeight w:val="180"/>
        </w:trPr>
        <w:tc>
          <w:tcPr>
            <w:tcW w:w="4788" w:type="dxa"/>
          </w:tcPr>
          <w:p w14:paraId="425A6717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</w:t>
            </w:r>
          </w:p>
        </w:tc>
        <w:tc>
          <w:tcPr>
            <w:tcW w:w="4788" w:type="dxa"/>
          </w:tcPr>
          <w:p w14:paraId="2131C0A3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EXPLANATORY NOTES</w:t>
            </w:r>
          </w:p>
        </w:tc>
      </w:tr>
      <w:tr w:rsidR="00B3418F" w14:paraId="2D09FD03" w14:textId="77777777">
        <w:trPr>
          <w:trHeight w:val="180"/>
        </w:trPr>
        <w:tc>
          <w:tcPr>
            <w:tcW w:w="4788" w:type="dxa"/>
          </w:tcPr>
          <w:p w14:paraId="09136B5C" w14:textId="77777777" w:rsidR="00B3418F" w:rsidRDefault="007F2503">
            <w:pPr>
              <w:pStyle w:val="normal0"/>
              <w:numPr>
                <w:ilvl w:val="0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 a new wiki page to serve as an overview of your topic and a repository of links to topic resources (not applicable if your topic aligns directly with the wiki you have been assigned to review and update).</w:t>
            </w:r>
          </w:p>
        </w:tc>
        <w:tc>
          <w:tcPr>
            <w:tcW w:w="4788" w:type="dxa"/>
          </w:tcPr>
          <w:p w14:paraId="490A5920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applicable for us. We added our informat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ion to the original Nutrition Counselling wiki page. </w:t>
            </w:r>
          </w:p>
        </w:tc>
      </w:tr>
      <w:tr w:rsidR="00B3418F" w14:paraId="7743BEE4" w14:textId="77777777">
        <w:trPr>
          <w:trHeight w:val="180"/>
        </w:trPr>
        <w:tc>
          <w:tcPr>
            <w:tcW w:w="4788" w:type="dxa"/>
          </w:tcPr>
          <w:p w14:paraId="733C3481" w14:textId="77777777" w:rsidR="00B3418F" w:rsidRDefault="007F2503">
            <w:pPr>
              <w:pStyle w:val="normal0"/>
              <w:numPr>
                <w:ilvl w:val="0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Create at least one related media product, such as a narrated slide show or screencast, video, animation, and/or audio segment.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Note: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you used a program to create your educational media that requir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 login and password, be sure to provide that information here, in case there is a future need to edit the materials.  You may wish to create an account that is unique to FNH 480, versus using an account you may be using for ongoing purposes.</w:t>
            </w:r>
          </w:p>
        </w:tc>
        <w:tc>
          <w:tcPr>
            <w:tcW w:w="4788" w:type="dxa"/>
          </w:tcPr>
          <w:p w14:paraId="67B71F96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this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ortion of the assignment we completed an info graphic using “Pickto Chart”. This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was designed to provide a framework for students to use as a reference when it comes to addressing difficult client questions in practice. </w:t>
            </w:r>
          </w:p>
        </w:tc>
      </w:tr>
      <w:tr w:rsidR="00B3418F" w14:paraId="7D33C322" w14:textId="77777777">
        <w:trPr>
          <w:trHeight w:val="180"/>
        </w:trPr>
        <w:tc>
          <w:tcPr>
            <w:tcW w:w="4788" w:type="dxa"/>
          </w:tcPr>
          <w:p w14:paraId="7CFF2543" w14:textId="77777777" w:rsidR="00B3418F" w:rsidRDefault="007F2503">
            <w:pPr>
              <w:pStyle w:val="normal0"/>
              <w:numPr>
                <w:ilvl w:val="0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Compile related resour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ces, to contribute to student learning and to complement your planned educational session (e.g., handouts, articles, links to existing online resources). </w:t>
            </w:r>
          </w:p>
        </w:tc>
        <w:tc>
          <w:tcPr>
            <w:tcW w:w="4788" w:type="dxa"/>
          </w:tcPr>
          <w:p w14:paraId="63458608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Handout of our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related resources for them to refer to during the Around the World 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tivity. We also are showing them the wiki page and what related resources are available from there. </w:t>
            </w:r>
          </w:p>
        </w:tc>
      </w:tr>
      <w:tr w:rsidR="00B3418F" w14:paraId="02EAEFC9" w14:textId="77777777">
        <w:trPr>
          <w:trHeight w:val="180"/>
        </w:trPr>
        <w:tc>
          <w:tcPr>
            <w:tcW w:w="4788" w:type="dxa"/>
          </w:tcPr>
          <w:p w14:paraId="45D1F493" w14:textId="77777777" w:rsidR="00B3418F" w:rsidRDefault="007F2503">
            <w:pPr>
              <w:pStyle w:val="normal0"/>
              <w:numPr>
                <w:ilvl w:val="0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Conduct a critical review of your posted material:</w:t>
            </w:r>
          </w:p>
        </w:tc>
        <w:tc>
          <w:tcPr>
            <w:tcW w:w="4788" w:type="dxa"/>
          </w:tcPr>
          <w:p w14:paraId="22A083BF" w14:textId="77777777" w:rsidR="00B3418F" w:rsidRDefault="00B3418F">
            <w:pPr>
              <w:pStyle w:val="normal0"/>
              <w:contextualSpacing w:val="0"/>
            </w:pPr>
          </w:p>
        </w:tc>
      </w:tr>
      <w:tr w:rsidR="00B3418F" w14:paraId="0D2C4BEF" w14:textId="77777777">
        <w:trPr>
          <w:trHeight w:val="180"/>
        </w:trPr>
        <w:tc>
          <w:tcPr>
            <w:tcW w:w="4788" w:type="dxa"/>
          </w:tcPr>
          <w:p w14:paraId="09FDAABE" w14:textId="77777777" w:rsidR="00B3418F" w:rsidRDefault="007F2503">
            <w:pPr>
              <w:pStyle w:val="normal0"/>
              <w:numPr>
                <w:ilvl w:val="1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material posted centrally relevant to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learning needs of pre-internship students?</w:t>
            </w:r>
          </w:p>
        </w:tc>
        <w:tc>
          <w:tcPr>
            <w:tcW w:w="4788" w:type="dxa"/>
          </w:tcPr>
          <w:p w14:paraId="638C01C2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Yes the infor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mation provided in this material 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addressing difficult client questions is relevant to the learning needs of students. We were able to determine this through the needs assessment, where student expressed a desire for a framework to apply in situations wh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 they are faced with difficult client questions. </w:t>
            </w:r>
          </w:p>
        </w:tc>
      </w:tr>
      <w:tr w:rsidR="00B3418F" w14:paraId="64BFF78B" w14:textId="77777777">
        <w:trPr>
          <w:trHeight w:val="180"/>
        </w:trPr>
        <w:tc>
          <w:tcPr>
            <w:tcW w:w="4788" w:type="dxa"/>
          </w:tcPr>
          <w:p w14:paraId="7769B98E" w14:textId="77777777" w:rsidR="00B3418F" w:rsidRDefault="007F2503">
            <w:pPr>
              <w:pStyle w:val="normal0"/>
              <w:numPr>
                <w:ilvl w:val="1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Is the material current and based on evidence?</w:t>
            </w:r>
          </w:p>
        </w:tc>
        <w:tc>
          <w:tcPr>
            <w:tcW w:w="4788" w:type="dxa"/>
          </w:tcPr>
          <w:p w14:paraId="2E008375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Yes. We received an email from Helen Yeung</w:t>
            </w:r>
            <w:bookmarkStart w:id="8" w:name="_GoBack"/>
            <w:bookmarkEnd w:id="8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a few other dietitians laying out some guidelines for addressing difficult client questions. Also, resources such as a phone conversation with HealthLink BC and the Dietitians of Canada web-page served as up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date, valuable resources. </w:t>
            </w:r>
          </w:p>
        </w:tc>
      </w:tr>
      <w:tr w:rsidR="00B3418F" w14:paraId="1D1A5574" w14:textId="77777777">
        <w:trPr>
          <w:trHeight w:val="180"/>
        </w:trPr>
        <w:tc>
          <w:tcPr>
            <w:tcW w:w="4788" w:type="dxa"/>
          </w:tcPr>
          <w:p w14:paraId="338879BF" w14:textId="77777777" w:rsidR="00B3418F" w:rsidRDefault="007F2503">
            <w:pPr>
              <w:pStyle w:val="normal0"/>
              <w:numPr>
                <w:ilvl w:val="1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Does the material align to principles of adult education? (e.g., focus on need to know information, varied approaches to learning used – not just a block of text, material organized to facilitate ease of access and review)</w:t>
            </w:r>
          </w:p>
        </w:tc>
        <w:tc>
          <w:tcPr>
            <w:tcW w:w="4788" w:type="dxa"/>
          </w:tcPr>
          <w:p w14:paraId="15B35D98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this material does align with the principles of adult learning. This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uses visual aids, as well as a flowchart design to help facilitate the ease of use by students. This mode of delivery also provides a unique source of information that is not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the form of a paper or article.</w:t>
            </w:r>
          </w:p>
        </w:tc>
      </w:tr>
      <w:tr w:rsidR="00B3418F" w14:paraId="1DEFDE22" w14:textId="77777777">
        <w:trPr>
          <w:trHeight w:val="180"/>
        </w:trPr>
        <w:tc>
          <w:tcPr>
            <w:tcW w:w="4788" w:type="dxa"/>
          </w:tcPr>
          <w:p w14:paraId="164D16B0" w14:textId="77777777" w:rsidR="00B3418F" w:rsidRDefault="007F2503">
            <w:pPr>
              <w:pStyle w:val="normal0"/>
              <w:numPr>
                <w:ilvl w:val="1"/>
                <w:numId w:val="4"/>
              </w:numPr>
              <w:ind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Does the material comply with </w:t>
            </w: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copyright requirements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788" w:type="dxa"/>
          </w:tcPr>
          <w:p w14:paraId="266C25B8" w14:textId="77777777" w:rsidR="00B3418F" w:rsidRDefault="007F2503">
            <w:pPr>
              <w:pStyle w:val="normal0"/>
              <w:contextualSpacing w:val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 this does comply with the copyright agreements as the images used were clip art from the Pickto Chart application, and the info graphic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contains the “Pickto Chart” trademark at the bottom. </w:t>
            </w:r>
          </w:p>
        </w:tc>
      </w:tr>
    </w:tbl>
    <w:p w14:paraId="16299379" w14:textId="77777777" w:rsidR="00B3418F" w:rsidRDefault="00B3418F">
      <w:pPr>
        <w:pStyle w:val="normal0"/>
      </w:pPr>
    </w:p>
    <w:sectPr w:rsidR="00B3418F">
      <w:footerReference w:type="default" r:id="rId18"/>
      <w:pgSz w:w="12240" w:h="15840"/>
      <w:pgMar w:top="1008" w:right="1440" w:bottom="1008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53A6B" w14:textId="77777777" w:rsidR="00000000" w:rsidRDefault="007F2503">
      <w:r>
        <w:separator/>
      </w:r>
    </w:p>
  </w:endnote>
  <w:endnote w:type="continuationSeparator" w:id="0">
    <w:p w14:paraId="541E1E60" w14:textId="77777777" w:rsidR="00000000" w:rsidRDefault="007F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0B47" w14:textId="77777777" w:rsidR="00B3418F" w:rsidRDefault="007F2503">
    <w:pPr>
      <w:pStyle w:val="normal0"/>
      <w:tabs>
        <w:tab w:val="center" w:pos="4320"/>
        <w:tab w:val="right" w:pos="8640"/>
      </w:tabs>
      <w:spacing w:after="706"/>
    </w:pPr>
    <w:r>
      <w:rPr>
        <w:rFonts w:ascii="Arial" w:eastAsia="Arial" w:hAnsi="Arial" w:cs="Arial"/>
        <w:sz w:val="16"/>
        <w:szCs w:val="16"/>
      </w:rPr>
      <w:t>FNH 480 Summary of Media Reviewed and Created 2016, April 18 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EBFC9" w14:textId="77777777" w:rsidR="00000000" w:rsidRDefault="007F2503">
      <w:r>
        <w:separator/>
      </w:r>
    </w:p>
  </w:footnote>
  <w:footnote w:type="continuationSeparator" w:id="0">
    <w:p w14:paraId="7EC55F42" w14:textId="77777777" w:rsidR="00000000" w:rsidRDefault="007F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40E"/>
    <w:multiLevelType w:val="multilevel"/>
    <w:tmpl w:val="030E86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D0C13A0"/>
    <w:multiLevelType w:val="multilevel"/>
    <w:tmpl w:val="37A4053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1F1E7B20"/>
    <w:multiLevelType w:val="multilevel"/>
    <w:tmpl w:val="805E0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9281A70"/>
    <w:multiLevelType w:val="multilevel"/>
    <w:tmpl w:val="C25E01BA"/>
    <w:lvl w:ilvl="0">
      <w:start w:val="1"/>
      <w:numFmt w:val="decimal"/>
      <w:lvlText w:val="%1.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4BE26918"/>
    <w:multiLevelType w:val="multilevel"/>
    <w:tmpl w:val="2564BAE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080" w:firstLine="7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5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  <w:sz w:val="22"/>
        <w:szCs w:val="22"/>
      </w:rPr>
    </w:lvl>
    <w:lvl w:ilvl="6">
      <w:start w:val="1"/>
      <w:numFmt w:val="lowerRoman"/>
      <w:lvlText w:val="%7."/>
      <w:lvlJc w:val="left"/>
      <w:pPr>
        <w:ind w:left="1440" w:firstLine="1080"/>
      </w:pPr>
    </w:lvl>
    <w:lvl w:ilvl="7">
      <w:start w:val="1"/>
      <w:numFmt w:val="bullet"/>
      <w:lvlText w:val="−"/>
      <w:lvlJc w:val="left"/>
      <w:pPr>
        <w:ind w:left="1800" w:firstLine="1440"/>
      </w:pPr>
      <w:rPr>
        <w:rFonts w:ascii="Arial" w:eastAsia="Arial" w:hAnsi="Arial" w:cs="Arial"/>
      </w:rPr>
    </w:lvl>
    <w:lvl w:ilvl="8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</w:rPr>
    </w:lvl>
  </w:abstractNum>
  <w:abstractNum w:abstractNumId="5">
    <w:nsid w:val="4DC95EA7"/>
    <w:multiLevelType w:val="multilevel"/>
    <w:tmpl w:val="FA6CBF9C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080" w:firstLine="7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5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  <w:sz w:val="22"/>
        <w:szCs w:val="22"/>
      </w:rPr>
    </w:lvl>
    <w:lvl w:ilvl="6">
      <w:start w:val="1"/>
      <w:numFmt w:val="lowerRoman"/>
      <w:lvlText w:val="%7."/>
      <w:lvlJc w:val="left"/>
      <w:pPr>
        <w:ind w:left="1440" w:firstLine="1080"/>
      </w:pPr>
    </w:lvl>
    <w:lvl w:ilvl="7">
      <w:start w:val="1"/>
      <w:numFmt w:val="bullet"/>
      <w:lvlText w:val="−"/>
      <w:lvlJc w:val="left"/>
      <w:pPr>
        <w:ind w:left="1800" w:firstLine="1440"/>
      </w:pPr>
      <w:rPr>
        <w:rFonts w:ascii="Arial" w:eastAsia="Arial" w:hAnsi="Arial" w:cs="Arial"/>
      </w:rPr>
    </w:lvl>
    <w:lvl w:ilvl="8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</w:rPr>
    </w:lvl>
  </w:abstractNum>
  <w:abstractNum w:abstractNumId="6">
    <w:nsid w:val="598926FF"/>
    <w:multiLevelType w:val="multilevel"/>
    <w:tmpl w:val="8CA05B3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5BFF21A6"/>
    <w:multiLevelType w:val="multilevel"/>
    <w:tmpl w:val="04E41D8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63DA745F"/>
    <w:multiLevelType w:val="multilevel"/>
    <w:tmpl w:val="4812275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firstLine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ind w:left="1080" w:firstLine="7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5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  <w:sz w:val="22"/>
        <w:szCs w:val="22"/>
      </w:rPr>
    </w:lvl>
    <w:lvl w:ilvl="6">
      <w:start w:val="1"/>
      <w:numFmt w:val="lowerRoman"/>
      <w:lvlText w:val="%7."/>
      <w:lvlJc w:val="left"/>
      <w:pPr>
        <w:ind w:left="1440" w:firstLine="1080"/>
      </w:pPr>
    </w:lvl>
    <w:lvl w:ilvl="7">
      <w:start w:val="1"/>
      <w:numFmt w:val="bullet"/>
      <w:lvlText w:val="−"/>
      <w:lvlJc w:val="left"/>
      <w:pPr>
        <w:ind w:left="1800" w:firstLine="1440"/>
      </w:pPr>
      <w:rPr>
        <w:rFonts w:ascii="Arial" w:eastAsia="Arial" w:hAnsi="Arial" w:cs="Arial"/>
      </w:rPr>
    </w:lvl>
    <w:lvl w:ilvl="8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</w:rPr>
    </w:lvl>
  </w:abstractNum>
  <w:abstractNum w:abstractNumId="9">
    <w:nsid w:val="7FC04C26"/>
    <w:multiLevelType w:val="multilevel"/>
    <w:tmpl w:val="47C6FD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418F"/>
    <w:rsid w:val="007F2503"/>
    <w:rsid w:val="00B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C0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copyright.ubc.ca/guidelines-and-resources/copyright-guidelines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iki.ubc.ca/Dietetics:Student_Created_Resources" TargetMode="External"/><Relationship Id="rId11" Type="http://schemas.openxmlformats.org/officeDocument/2006/relationships/hyperlink" Target="https://wiki.ubc.ca/Dietetics:Student_Created_Resources" TargetMode="External"/><Relationship Id="rId12" Type="http://schemas.openxmlformats.org/officeDocument/2006/relationships/hyperlink" Target="https://wiki.ubc.ca/Dietetics:Student_Created_Resources" TargetMode="External"/><Relationship Id="rId13" Type="http://schemas.openxmlformats.org/officeDocument/2006/relationships/hyperlink" Target="https://wiki.ubc.ca/Dietetics:Student_Created_Resources" TargetMode="External"/><Relationship Id="rId14" Type="http://schemas.openxmlformats.org/officeDocument/2006/relationships/hyperlink" Target="https://wiki.ubc.ca/Dietetics:Student_Created_Resources" TargetMode="External"/><Relationship Id="rId15" Type="http://schemas.openxmlformats.org/officeDocument/2006/relationships/hyperlink" Target="http://copyright.ubc.ca/guidelines-and-resources/copyright-guidelines/" TargetMode="External"/><Relationship Id="rId16" Type="http://schemas.openxmlformats.org/officeDocument/2006/relationships/hyperlink" Target="http://www.nutrition411.com/articles/difficult-patients-how-cope-them" TargetMode="External"/><Relationship Id="rId17" Type="http://schemas.openxmlformats.org/officeDocument/2006/relationships/hyperlink" Target="http://copyright.ubc.ca/guidelines-and-resources/copyright-guidelines/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7274</Characters>
  <Application>Microsoft Macintosh Word</Application>
  <DocSecurity>0</DocSecurity>
  <Lines>60</Lines>
  <Paragraphs>17</Paragraphs>
  <ScaleCrop>false</ScaleCrop>
  <Company>Home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Ellis</cp:lastModifiedBy>
  <cp:revision>2</cp:revision>
  <dcterms:created xsi:type="dcterms:W3CDTF">2016-05-20T14:13:00Z</dcterms:created>
  <dcterms:modified xsi:type="dcterms:W3CDTF">2016-05-20T14:22:00Z</dcterms:modified>
</cp:coreProperties>
</file>