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sz w:val="2"/>
        </w:rPr>
        <w:id w:val="786232220"/>
        <w:docPartObj>
          <w:docPartGallery w:val="Cover Pages"/>
          <w:docPartUnique/>
        </w:docPartObj>
      </w:sdtPr>
      <w:sdtEndPr>
        <w:rPr>
          <w:sz w:val="22"/>
        </w:rPr>
      </w:sdtEndPr>
      <w:sdtContent>
        <w:p w14:paraId="5C1E2EA6" w14:textId="77777777" w:rsidR="008B711F" w:rsidRDefault="008B711F" w:rsidP="008B711F">
          <w:pPr>
            <w:pStyle w:val="NoSpacing"/>
            <w:rPr>
              <w:sz w:val="2"/>
            </w:rPr>
          </w:pPr>
        </w:p>
        <w:p w14:paraId="24F1453B" w14:textId="77777777" w:rsidR="00BE5AA7" w:rsidRDefault="00BE5AA7" w:rsidP="008B711F">
          <w:pPr>
            <w:spacing w:before="0" w:after="0" w:line="240" w:lineRule="auto"/>
            <w:jc w:val="center"/>
            <w:rPr>
              <w:sz w:val="28"/>
              <w:szCs w:val="28"/>
            </w:rPr>
          </w:pPr>
        </w:p>
        <w:p w14:paraId="5C9817AE" w14:textId="77777777" w:rsidR="00C52C80" w:rsidRDefault="00C52C80" w:rsidP="008B711F">
          <w:pPr>
            <w:spacing w:before="0" w:after="0" w:line="240" w:lineRule="auto"/>
            <w:jc w:val="center"/>
            <w:rPr>
              <w:rFonts w:ascii="Helvetica" w:hAnsi="Helvetica"/>
              <w:b/>
              <w:bCs/>
              <w:sz w:val="48"/>
              <w:szCs w:val="48"/>
            </w:rPr>
          </w:pPr>
        </w:p>
        <w:p w14:paraId="65612569" w14:textId="77777777" w:rsidR="00C52C80" w:rsidRDefault="00C52C80" w:rsidP="008B711F">
          <w:pPr>
            <w:spacing w:before="0" w:after="0" w:line="240" w:lineRule="auto"/>
            <w:jc w:val="center"/>
            <w:rPr>
              <w:rFonts w:ascii="Helvetica" w:hAnsi="Helvetica"/>
              <w:b/>
              <w:bCs/>
              <w:sz w:val="48"/>
              <w:szCs w:val="48"/>
            </w:rPr>
          </w:pPr>
        </w:p>
        <w:p w14:paraId="0F304533" w14:textId="51D14C18" w:rsidR="00BE5AA7" w:rsidRPr="009974F3" w:rsidRDefault="00BE5AA7" w:rsidP="008B711F">
          <w:pPr>
            <w:spacing w:before="0" w:after="0" w:line="240" w:lineRule="auto"/>
            <w:jc w:val="center"/>
            <w:rPr>
              <w:rFonts w:ascii="Helvetica" w:hAnsi="Helvetica"/>
              <w:b/>
              <w:bCs/>
              <w:sz w:val="36"/>
              <w:szCs w:val="36"/>
            </w:rPr>
          </w:pPr>
          <w:r w:rsidRPr="009974F3">
            <w:rPr>
              <w:rFonts w:ascii="Helvetica" w:hAnsi="Helvetica"/>
              <w:b/>
              <w:bCs/>
              <w:sz w:val="36"/>
              <w:szCs w:val="36"/>
            </w:rPr>
            <w:t>Improving the Quality and Accessibility of Financial Literacy Resources at the University of British Columbia</w:t>
          </w:r>
        </w:p>
        <w:p w14:paraId="02A86DE8" w14:textId="6D16B119" w:rsidR="00BE5AA7" w:rsidRDefault="00BE5AA7" w:rsidP="008B711F">
          <w:pPr>
            <w:spacing w:before="0" w:after="0" w:line="240" w:lineRule="auto"/>
            <w:jc w:val="center"/>
            <w:rPr>
              <w:rFonts w:ascii="Helvetica" w:hAnsi="Helvetica"/>
              <w:b/>
              <w:bCs/>
              <w:sz w:val="48"/>
              <w:szCs w:val="48"/>
            </w:rPr>
          </w:pPr>
        </w:p>
        <w:p w14:paraId="1A9500E6" w14:textId="77777777" w:rsidR="00C52C80" w:rsidRDefault="00C52C80" w:rsidP="008B711F">
          <w:pPr>
            <w:spacing w:before="0" w:after="0" w:line="240" w:lineRule="auto"/>
            <w:jc w:val="center"/>
            <w:rPr>
              <w:rFonts w:ascii="Helvetica" w:hAnsi="Helvetica"/>
              <w:b/>
              <w:bCs/>
              <w:sz w:val="48"/>
              <w:szCs w:val="48"/>
            </w:rPr>
          </w:pPr>
        </w:p>
        <w:p w14:paraId="033AAD9C" w14:textId="500A8A3F" w:rsidR="00C52C80" w:rsidRDefault="00C52C80" w:rsidP="00C52C80">
          <w:pPr>
            <w:spacing w:before="0" w:after="0" w:line="240" w:lineRule="auto"/>
            <w:jc w:val="center"/>
            <w:rPr>
              <w:rFonts w:ascii="Helvetica" w:hAnsi="Helvetica"/>
              <w:b/>
              <w:bCs/>
              <w:sz w:val="24"/>
              <w:szCs w:val="24"/>
            </w:rPr>
          </w:pPr>
          <w:r w:rsidRPr="00596789">
            <w:rPr>
              <w:rFonts w:ascii="Helvetica" w:hAnsi="Helvetica"/>
              <w:b/>
              <w:bCs/>
              <w:sz w:val="24"/>
              <w:szCs w:val="24"/>
            </w:rPr>
            <w:t>Prepared for</w:t>
          </w:r>
        </w:p>
        <w:p w14:paraId="3F66762B" w14:textId="77777777" w:rsidR="00596789" w:rsidRPr="00596789" w:rsidRDefault="00596789" w:rsidP="00C52C80">
          <w:pPr>
            <w:spacing w:before="0" w:after="0" w:line="240" w:lineRule="auto"/>
            <w:jc w:val="center"/>
            <w:rPr>
              <w:rFonts w:ascii="Helvetica" w:hAnsi="Helvetica"/>
              <w:b/>
              <w:bCs/>
              <w:sz w:val="24"/>
              <w:szCs w:val="24"/>
            </w:rPr>
          </w:pPr>
        </w:p>
        <w:p w14:paraId="79FA57A9" w14:textId="6E6C0D52" w:rsidR="00C52C80" w:rsidRPr="00596789" w:rsidRDefault="00C52C80" w:rsidP="00C52C80">
          <w:pPr>
            <w:spacing w:before="0" w:after="0" w:line="240" w:lineRule="auto"/>
            <w:jc w:val="center"/>
            <w:rPr>
              <w:rFonts w:ascii="Helvetica" w:hAnsi="Helvetica"/>
              <w:sz w:val="24"/>
              <w:szCs w:val="24"/>
            </w:rPr>
          </w:pPr>
          <w:r w:rsidRPr="00596789">
            <w:rPr>
              <w:rFonts w:ascii="Helvetica" w:hAnsi="Helvetica"/>
              <w:sz w:val="24"/>
              <w:szCs w:val="24"/>
            </w:rPr>
            <w:t xml:space="preserve">Maria Manella  </w:t>
          </w:r>
        </w:p>
        <w:p w14:paraId="26AA3218" w14:textId="39327452" w:rsidR="00C52C80" w:rsidRPr="00596789" w:rsidRDefault="00C52C80" w:rsidP="00C52C80">
          <w:pPr>
            <w:spacing w:before="0" w:after="0" w:line="240" w:lineRule="auto"/>
            <w:jc w:val="center"/>
            <w:rPr>
              <w:rFonts w:ascii="Helvetica" w:hAnsi="Helvetica"/>
              <w:sz w:val="24"/>
              <w:szCs w:val="24"/>
            </w:rPr>
          </w:pPr>
          <w:r w:rsidRPr="00596789">
            <w:rPr>
              <w:rFonts w:ascii="Helvetica" w:hAnsi="Helvetica"/>
              <w:sz w:val="24"/>
              <w:szCs w:val="24"/>
            </w:rPr>
            <w:t>Manager</w:t>
          </w:r>
        </w:p>
        <w:p w14:paraId="313F8F5F" w14:textId="5FA52DED" w:rsidR="00C52C80" w:rsidRPr="00596789" w:rsidRDefault="00C52C80" w:rsidP="00C52C80">
          <w:pPr>
            <w:spacing w:before="0" w:after="0" w:line="240" w:lineRule="auto"/>
            <w:jc w:val="center"/>
            <w:rPr>
              <w:rFonts w:ascii="Helvetica" w:hAnsi="Helvetica"/>
              <w:sz w:val="20"/>
            </w:rPr>
          </w:pPr>
          <w:r w:rsidRPr="00596789">
            <w:rPr>
              <w:rFonts w:ascii="Helvetica" w:hAnsi="Helvetica"/>
              <w:sz w:val="20"/>
            </w:rPr>
            <w:t xml:space="preserve">Student Financial Management </w:t>
          </w:r>
        </w:p>
        <w:p w14:paraId="5C4942D1" w14:textId="4C355C5A" w:rsidR="00C52C80" w:rsidRPr="00596789" w:rsidRDefault="00C52C80" w:rsidP="00C52C80">
          <w:pPr>
            <w:spacing w:before="0" w:after="0" w:line="240" w:lineRule="auto"/>
            <w:jc w:val="center"/>
            <w:rPr>
              <w:rFonts w:ascii="Helvetica" w:hAnsi="Helvetica"/>
              <w:sz w:val="20"/>
            </w:rPr>
          </w:pPr>
          <w:r w:rsidRPr="00596789">
            <w:rPr>
              <w:rFonts w:ascii="Helvetica" w:hAnsi="Helvetica"/>
              <w:sz w:val="20"/>
            </w:rPr>
            <w:t>UBC Student Services</w:t>
          </w:r>
        </w:p>
        <w:p w14:paraId="3624BCC4" w14:textId="33B53628" w:rsidR="00902895" w:rsidRPr="00596789" w:rsidRDefault="00902895" w:rsidP="00C52C80">
          <w:pPr>
            <w:spacing w:before="0" w:after="0" w:line="240" w:lineRule="auto"/>
            <w:jc w:val="center"/>
            <w:rPr>
              <w:rFonts w:ascii="Helvetica" w:hAnsi="Helvetica"/>
              <w:sz w:val="20"/>
            </w:rPr>
          </w:pPr>
          <w:r w:rsidRPr="00596789">
            <w:rPr>
              <w:rFonts w:ascii="Helvetica" w:hAnsi="Helvetica"/>
              <w:sz w:val="20"/>
            </w:rPr>
            <w:t>maria.mannella@ubc.ca</w:t>
          </w:r>
        </w:p>
        <w:p w14:paraId="541E279F" w14:textId="09BFA2B1" w:rsidR="00C52C80" w:rsidRDefault="00C52C80" w:rsidP="00C52C80">
          <w:pPr>
            <w:spacing w:before="0" w:after="0" w:line="240" w:lineRule="auto"/>
            <w:jc w:val="center"/>
            <w:rPr>
              <w:rFonts w:ascii="Helvetica" w:hAnsi="Helvetica"/>
              <w:sz w:val="28"/>
              <w:szCs w:val="28"/>
            </w:rPr>
          </w:pPr>
        </w:p>
        <w:p w14:paraId="17D11C3F" w14:textId="77777777" w:rsidR="00902895" w:rsidRDefault="00902895" w:rsidP="00C52C80">
          <w:pPr>
            <w:spacing w:before="0" w:after="0" w:line="240" w:lineRule="auto"/>
            <w:jc w:val="center"/>
            <w:rPr>
              <w:rFonts w:ascii="Helvetica" w:hAnsi="Helvetica"/>
              <w:sz w:val="28"/>
              <w:szCs w:val="28"/>
            </w:rPr>
          </w:pPr>
        </w:p>
        <w:p w14:paraId="42F35B23" w14:textId="77777777" w:rsidR="00596789" w:rsidRDefault="00596789" w:rsidP="00C52C80">
          <w:pPr>
            <w:spacing w:before="0" w:after="0" w:line="240" w:lineRule="auto"/>
            <w:jc w:val="center"/>
            <w:rPr>
              <w:rFonts w:ascii="Helvetica" w:hAnsi="Helvetica"/>
              <w:b/>
              <w:bCs/>
              <w:sz w:val="24"/>
              <w:szCs w:val="24"/>
            </w:rPr>
          </w:pPr>
        </w:p>
        <w:p w14:paraId="038B934C" w14:textId="58D01CF2" w:rsidR="00C52C80" w:rsidRPr="00596789" w:rsidRDefault="00C52C80" w:rsidP="00C52C80">
          <w:pPr>
            <w:spacing w:before="0" w:after="0" w:line="240" w:lineRule="auto"/>
            <w:jc w:val="center"/>
            <w:rPr>
              <w:rFonts w:ascii="Helvetica" w:hAnsi="Helvetica"/>
              <w:b/>
              <w:bCs/>
              <w:sz w:val="24"/>
              <w:szCs w:val="24"/>
            </w:rPr>
          </w:pPr>
          <w:r w:rsidRPr="00596789">
            <w:rPr>
              <w:rFonts w:ascii="Helvetica" w:hAnsi="Helvetica"/>
              <w:b/>
              <w:bCs/>
              <w:sz w:val="24"/>
              <w:szCs w:val="24"/>
            </w:rPr>
            <w:t>Prepared by</w:t>
          </w:r>
        </w:p>
        <w:p w14:paraId="3CCF81BD" w14:textId="77777777" w:rsidR="00C52C80" w:rsidRPr="00596789" w:rsidRDefault="00C52C80" w:rsidP="00C52C80">
          <w:pPr>
            <w:spacing w:before="0" w:after="0" w:line="240" w:lineRule="auto"/>
            <w:jc w:val="center"/>
            <w:rPr>
              <w:rFonts w:ascii="Helvetica" w:hAnsi="Helvetica"/>
              <w:sz w:val="24"/>
              <w:szCs w:val="24"/>
            </w:rPr>
          </w:pPr>
          <w:r w:rsidRPr="00596789">
            <w:rPr>
              <w:rFonts w:ascii="Helvetica" w:hAnsi="Helvetica"/>
              <w:sz w:val="24"/>
              <w:szCs w:val="24"/>
            </w:rPr>
            <w:t>Ben Maxfield</w:t>
          </w:r>
        </w:p>
        <w:p w14:paraId="0553062E" w14:textId="21812324" w:rsidR="00C52C80" w:rsidRPr="00596789" w:rsidRDefault="00C52C80" w:rsidP="00C52C80">
          <w:pPr>
            <w:spacing w:before="0" w:after="0" w:line="240" w:lineRule="auto"/>
            <w:jc w:val="center"/>
            <w:rPr>
              <w:rFonts w:ascii="Helvetica" w:hAnsi="Helvetica"/>
              <w:sz w:val="20"/>
            </w:rPr>
          </w:pPr>
          <w:r w:rsidRPr="00596789">
            <w:rPr>
              <w:rFonts w:ascii="Helvetica" w:hAnsi="Helvetica"/>
              <w:sz w:val="20"/>
            </w:rPr>
            <w:t>Professional Writing Team Member</w:t>
          </w:r>
        </w:p>
        <w:p w14:paraId="722DE8A7" w14:textId="38B1163D" w:rsidR="00C52C80" w:rsidRPr="00596789" w:rsidRDefault="00C52C80" w:rsidP="00C52C80">
          <w:pPr>
            <w:spacing w:before="0" w:after="0" w:line="240" w:lineRule="auto"/>
            <w:jc w:val="center"/>
            <w:rPr>
              <w:rFonts w:ascii="Helvetica" w:hAnsi="Helvetica"/>
              <w:sz w:val="20"/>
            </w:rPr>
          </w:pPr>
          <w:r w:rsidRPr="00596789">
            <w:rPr>
              <w:rFonts w:ascii="Helvetica" w:hAnsi="Helvetica"/>
              <w:sz w:val="20"/>
            </w:rPr>
            <w:t>“Jake’s Friends”</w:t>
          </w:r>
        </w:p>
        <w:p w14:paraId="471B9134" w14:textId="051761FC" w:rsidR="00C52C80" w:rsidRPr="00596789" w:rsidRDefault="00C52C80" w:rsidP="00C52C80">
          <w:pPr>
            <w:spacing w:before="0" w:after="0" w:line="240" w:lineRule="auto"/>
            <w:jc w:val="center"/>
            <w:rPr>
              <w:rFonts w:ascii="Helvetica" w:hAnsi="Helvetica"/>
              <w:sz w:val="20"/>
            </w:rPr>
          </w:pPr>
          <w:r w:rsidRPr="00596789">
            <w:rPr>
              <w:rFonts w:ascii="Helvetica" w:hAnsi="Helvetica"/>
              <w:sz w:val="20"/>
            </w:rPr>
            <w:t>ENGL 301: Technical Writing</w:t>
          </w:r>
        </w:p>
        <w:p w14:paraId="47F7ED52" w14:textId="6A9A348A" w:rsidR="00596789" w:rsidRPr="00596789" w:rsidRDefault="00596789" w:rsidP="00C52C80">
          <w:pPr>
            <w:spacing w:before="0" w:after="0" w:line="240" w:lineRule="auto"/>
            <w:jc w:val="center"/>
            <w:rPr>
              <w:rFonts w:ascii="Helvetica" w:hAnsi="Helvetica"/>
              <w:sz w:val="20"/>
            </w:rPr>
          </w:pPr>
          <w:hyperlink r:id="rId8" w:history="1">
            <w:r w:rsidRPr="00596789">
              <w:rPr>
                <w:rStyle w:val="Hyperlink"/>
                <w:rFonts w:ascii="Helvetica" w:hAnsi="Helvetica"/>
                <w:sz w:val="20"/>
              </w:rPr>
              <w:t>benmax@student.ubc.ca</w:t>
            </w:r>
          </w:hyperlink>
        </w:p>
        <w:p w14:paraId="4C0B7126" w14:textId="77777777" w:rsidR="00596789" w:rsidRDefault="00596789" w:rsidP="00C52C80">
          <w:pPr>
            <w:spacing w:before="0" w:after="0" w:line="240" w:lineRule="auto"/>
            <w:jc w:val="center"/>
            <w:rPr>
              <w:rFonts w:ascii="Helvetica" w:hAnsi="Helvetica"/>
              <w:sz w:val="24"/>
              <w:szCs w:val="24"/>
            </w:rPr>
          </w:pPr>
        </w:p>
        <w:p w14:paraId="401BE90B" w14:textId="77777777" w:rsidR="00596789" w:rsidRDefault="00596789" w:rsidP="00C52C80">
          <w:pPr>
            <w:spacing w:before="0" w:after="0" w:line="240" w:lineRule="auto"/>
            <w:jc w:val="center"/>
            <w:rPr>
              <w:rFonts w:ascii="Helvetica" w:hAnsi="Helvetica"/>
              <w:sz w:val="24"/>
              <w:szCs w:val="24"/>
            </w:rPr>
          </w:pPr>
        </w:p>
        <w:p w14:paraId="5E0359DF" w14:textId="77777777" w:rsidR="00596789" w:rsidRDefault="00596789" w:rsidP="00C52C80">
          <w:pPr>
            <w:spacing w:before="0" w:after="0" w:line="240" w:lineRule="auto"/>
            <w:jc w:val="center"/>
            <w:rPr>
              <w:rFonts w:ascii="Helvetica" w:hAnsi="Helvetica"/>
              <w:sz w:val="24"/>
              <w:szCs w:val="24"/>
            </w:rPr>
          </w:pPr>
        </w:p>
        <w:p w14:paraId="09952FEE" w14:textId="77777777" w:rsidR="00596789" w:rsidRDefault="00596789" w:rsidP="00C52C80">
          <w:pPr>
            <w:spacing w:before="0" w:after="0" w:line="240" w:lineRule="auto"/>
            <w:jc w:val="center"/>
            <w:rPr>
              <w:rFonts w:ascii="Helvetica" w:hAnsi="Helvetica"/>
              <w:sz w:val="24"/>
              <w:szCs w:val="24"/>
            </w:rPr>
          </w:pPr>
        </w:p>
        <w:p w14:paraId="01BCEE14" w14:textId="279027F1" w:rsidR="008B711F" w:rsidRPr="00902895" w:rsidRDefault="00596789" w:rsidP="00C52C80">
          <w:pPr>
            <w:spacing w:before="0" w:after="0" w:line="240" w:lineRule="auto"/>
            <w:jc w:val="center"/>
            <w:rPr>
              <w:rFonts w:ascii="Helvetica" w:hAnsi="Helvetica"/>
              <w:sz w:val="24"/>
              <w:szCs w:val="24"/>
            </w:rPr>
          </w:pPr>
          <w:r>
            <w:rPr>
              <w:rFonts w:ascii="Helvetica" w:hAnsi="Helvetica"/>
              <w:sz w:val="24"/>
              <w:szCs w:val="24"/>
            </w:rPr>
            <w:fldChar w:fldCharType="begin"/>
          </w:r>
          <w:r>
            <w:rPr>
              <w:rFonts w:ascii="Helvetica" w:hAnsi="Helvetica"/>
              <w:sz w:val="24"/>
              <w:szCs w:val="24"/>
            </w:rPr>
            <w:instrText xml:space="preserve"> DATE \@ "MMMM d, yyyy" </w:instrText>
          </w:r>
          <w:r>
            <w:rPr>
              <w:rFonts w:ascii="Helvetica" w:hAnsi="Helvetica"/>
              <w:sz w:val="24"/>
              <w:szCs w:val="24"/>
            </w:rPr>
            <w:fldChar w:fldCharType="separate"/>
          </w:r>
          <w:r>
            <w:rPr>
              <w:rFonts w:ascii="Helvetica" w:hAnsi="Helvetica"/>
              <w:noProof/>
              <w:sz w:val="24"/>
              <w:szCs w:val="24"/>
            </w:rPr>
            <w:t>March 22, 2022</w:t>
          </w:r>
          <w:r>
            <w:rPr>
              <w:rFonts w:ascii="Helvetica" w:hAnsi="Helvetica"/>
              <w:sz w:val="24"/>
              <w:szCs w:val="24"/>
            </w:rPr>
            <w:fldChar w:fldCharType="end"/>
          </w:r>
          <w:r w:rsidR="008B711F" w:rsidRPr="00902895">
            <w:rPr>
              <w:rFonts w:ascii="Helvetica" w:hAnsi="Helvetica"/>
              <w:sz w:val="24"/>
              <w:szCs w:val="24"/>
            </w:rPr>
            <w:br w:type="page"/>
          </w:r>
        </w:p>
        <w:p w14:paraId="06390A69" w14:textId="0CF08221" w:rsidR="0089274E" w:rsidRPr="008B711F" w:rsidRDefault="00B45074" w:rsidP="008B711F">
          <w:pPr>
            <w:pStyle w:val="NoSpacing"/>
            <w:rPr>
              <w:sz w:val="2"/>
            </w:rPr>
          </w:pPr>
        </w:p>
      </w:sdtContent>
    </w:sdt>
    <w:sdt>
      <w:sdtPr>
        <w:rPr>
          <w:rFonts w:eastAsiaTheme="minorHAnsi" w:cs="Times New Roman (Body CS)"/>
          <w:b w:val="0"/>
          <w:sz w:val="22"/>
          <w:szCs w:val="20"/>
        </w:rPr>
        <w:id w:val="-975068772"/>
        <w:docPartObj>
          <w:docPartGallery w:val="Table of Contents"/>
          <w:docPartUnique/>
        </w:docPartObj>
      </w:sdtPr>
      <w:sdtEndPr>
        <w:rPr>
          <w:bCs/>
          <w:noProof/>
        </w:rPr>
      </w:sdtEndPr>
      <w:sdtContent>
        <w:p w14:paraId="21FBFD35" w14:textId="4BBB13BC" w:rsidR="005F6028" w:rsidRPr="00BE5AA7" w:rsidRDefault="005F6028" w:rsidP="00FB68F8">
          <w:pPr>
            <w:pStyle w:val="Heading1"/>
          </w:pPr>
          <w:r w:rsidRPr="00BE5AA7">
            <w:t xml:space="preserve">Table of </w:t>
          </w:r>
          <w:r w:rsidRPr="00FB68F8">
            <w:t>Contents</w:t>
          </w:r>
        </w:p>
        <w:p w14:paraId="1611CD18" w14:textId="2ECC7482" w:rsidR="005F6028" w:rsidRPr="00BE5AA7" w:rsidRDefault="005F6028" w:rsidP="005F6028">
          <w:pPr>
            <w:pStyle w:val="TOC1"/>
            <w:spacing w:line="240" w:lineRule="auto"/>
            <w:rPr>
              <w:rFonts w:ascii="Arial" w:hAnsi="Arial" w:cs="Arial"/>
              <w:b w:val="0"/>
              <w:bCs w:val="0"/>
              <w:noProof/>
            </w:rPr>
          </w:pPr>
          <w:r w:rsidRPr="00BE5AA7">
            <w:rPr>
              <w:rFonts w:ascii="Arial" w:hAnsi="Arial" w:cs="Arial"/>
              <w:b w:val="0"/>
              <w:bCs w:val="0"/>
            </w:rPr>
            <w:fldChar w:fldCharType="begin"/>
          </w:r>
          <w:r w:rsidRPr="00BE5AA7">
            <w:rPr>
              <w:rFonts w:ascii="Arial" w:hAnsi="Arial" w:cs="Arial"/>
              <w:b w:val="0"/>
              <w:bCs w:val="0"/>
            </w:rPr>
            <w:instrText xml:space="preserve"> TOC \o "1-3" \h \z \u </w:instrText>
          </w:r>
          <w:r w:rsidRPr="00BE5AA7">
            <w:rPr>
              <w:rFonts w:ascii="Arial" w:hAnsi="Arial" w:cs="Arial"/>
              <w:b w:val="0"/>
              <w:bCs w:val="0"/>
            </w:rPr>
            <w:fldChar w:fldCharType="separate"/>
          </w:r>
          <w:hyperlink w:anchor="_Toc98325320" w:history="1">
            <w:r w:rsidRPr="00BE5AA7">
              <w:rPr>
                <w:rStyle w:val="Hyperlink"/>
                <w:rFonts w:ascii="Arial" w:hAnsi="Arial" w:cs="Arial"/>
                <w:b w:val="0"/>
                <w:bCs w:val="0"/>
                <w:noProof/>
              </w:rPr>
              <w:t>Letter of Transmission</w:t>
            </w:r>
            <w:r w:rsidRPr="00BE5AA7">
              <w:rPr>
                <w:rFonts w:ascii="Arial" w:hAnsi="Arial" w:cs="Arial"/>
                <w:b w:val="0"/>
                <w:bCs w:val="0"/>
                <w:noProof/>
                <w:webHidden/>
              </w:rPr>
              <w:tab/>
            </w:r>
            <w:r w:rsidRPr="00BE5AA7">
              <w:rPr>
                <w:rFonts w:ascii="Arial" w:hAnsi="Arial" w:cs="Arial"/>
                <w:b w:val="0"/>
                <w:bCs w:val="0"/>
                <w:noProof/>
                <w:webHidden/>
              </w:rPr>
              <w:fldChar w:fldCharType="begin"/>
            </w:r>
            <w:r w:rsidRPr="00BE5AA7">
              <w:rPr>
                <w:rFonts w:ascii="Arial" w:hAnsi="Arial" w:cs="Arial"/>
                <w:b w:val="0"/>
                <w:bCs w:val="0"/>
                <w:noProof/>
                <w:webHidden/>
              </w:rPr>
              <w:instrText xml:space="preserve"> PAGEREF _Toc98325320 \h </w:instrText>
            </w:r>
            <w:r w:rsidRPr="00BE5AA7">
              <w:rPr>
                <w:rFonts w:ascii="Arial" w:hAnsi="Arial" w:cs="Arial"/>
                <w:b w:val="0"/>
                <w:bCs w:val="0"/>
                <w:noProof/>
                <w:webHidden/>
              </w:rPr>
            </w:r>
            <w:r w:rsidRPr="00BE5AA7">
              <w:rPr>
                <w:rFonts w:ascii="Arial" w:hAnsi="Arial" w:cs="Arial"/>
                <w:b w:val="0"/>
                <w:bCs w:val="0"/>
                <w:noProof/>
                <w:webHidden/>
              </w:rPr>
              <w:fldChar w:fldCharType="separate"/>
            </w:r>
            <w:r w:rsidRPr="00BE5AA7">
              <w:rPr>
                <w:rFonts w:ascii="Arial" w:hAnsi="Arial" w:cs="Arial"/>
                <w:b w:val="0"/>
                <w:bCs w:val="0"/>
                <w:noProof/>
                <w:webHidden/>
              </w:rPr>
              <w:t>1</w:t>
            </w:r>
            <w:r w:rsidRPr="00BE5AA7">
              <w:rPr>
                <w:rFonts w:ascii="Arial" w:hAnsi="Arial" w:cs="Arial"/>
                <w:b w:val="0"/>
                <w:bCs w:val="0"/>
                <w:noProof/>
                <w:webHidden/>
              </w:rPr>
              <w:fldChar w:fldCharType="end"/>
            </w:r>
          </w:hyperlink>
        </w:p>
        <w:p w14:paraId="43F5D681" w14:textId="37D9A39D" w:rsidR="005F6028" w:rsidRPr="00BE5AA7" w:rsidRDefault="00B45074" w:rsidP="005F6028">
          <w:pPr>
            <w:pStyle w:val="TOC1"/>
            <w:spacing w:line="240" w:lineRule="auto"/>
            <w:rPr>
              <w:rFonts w:ascii="Arial" w:hAnsi="Arial" w:cs="Arial"/>
              <w:b w:val="0"/>
              <w:bCs w:val="0"/>
              <w:noProof/>
            </w:rPr>
          </w:pPr>
          <w:hyperlink w:anchor="_Toc98325321" w:history="1">
            <w:r w:rsidR="005F6028" w:rsidRPr="00BE5AA7">
              <w:rPr>
                <w:rStyle w:val="Hyperlink"/>
                <w:rFonts w:ascii="Arial" w:hAnsi="Arial" w:cs="Arial"/>
                <w:b w:val="0"/>
                <w:bCs w:val="0"/>
                <w:noProof/>
              </w:rPr>
              <w:t>Abstract</w:t>
            </w:r>
            <w:r w:rsidR="005F6028" w:rsidRPr="00BE5AA7">
              <w:rPr>
                <w:rFonts w:ascii="Arial" w:hAnsi="Arial" w:cs="Arial"/>
                <w:b w:val="0"/>
                <w:bCs w:val="0"/>
                <w:noProof/>
                <w:webHidden/>
              </w:rPr>
              <w:tab/>
            </w:r>
            <w:r w:rsidR="005F6028" w:rsidRPr="00BE5AA7">
              <w:rPr>
                <w:rFonts w:ascii="Arial" w:hAnsi="Arial" w:cs="Arial"/>
                <w:b w:val="0"/>
                <w:bCs w:val="0"/>
                <w:noProof/>
                <w:webHidden/>
              </w:rPr>
              <w:fldChar w:fldCharType="begin"/>
            </w:r>
            <w:r w:rsidR="005F6028" w:rsidRPr="00BE5AA7">
              <w:rPr>
                <w:rFonts w:ascii="Arial" w:hAnsi="Arial" w:cs="Arial"/>
                <w:b w:val="0"/>
                <w:bCs w:val="0"/>
                <w:noProof/>
                <w:webHidden/>
              </w:rPr>
              <w:instrText xml:space="preserve"> PAGEREF _Toc98325321 \h </w:instrText>
            </w:r>
            <w:r w:rsidR="005F6028" w:rsidRPr="00BE5AA7">
              <w:rPr>
                <w:rFonts w:ascii="Arial" w:hAnsi="Arial" w:cs="Arial"/>
                <w:b w:val="0"/>
                <w:bCs w:val="0"/>
                <w:noProof/>
                <w:webHidden/>
              </w:rPr>
            </w:r>
            <w:r w:rsidR="005F6028" w:rsidRPr="00BE5AA7">
              <w:rPr>
                <w:rFonts w:ascii="Arial" w:hAnsi="Arial" w:cs="Arial"/>
                <w:b w:val="0"/>
                <w:bCs w:val="0"/>
                <w:noProof/>
                <w:webHidden/>
              </w:rPr>
              <w:fldChar w:fldCharType="separate"/>
            </w:r>
            <w:r w:rsidR="005F6028" w:rsidRPr="00BE5AA7">
              <w:rPr>
                <w:rFonts w:ascii="Arial" w:hAnsi="Arial" w:cs="Arial"/>
                <w:b w:val="0"/>
                <w:bCs w:val="0"/>
                <w:noProof/>
                <w:webHidden/>
              </w:rPr>
              <w:t>2</w:t>
            </w:r>
            <w:r w:rsidR="005F6028" w:rsidRPr="00BE5AA7">
              <w:rPr>
                <w:rFonts w:ascii="Arial" w:hAnsi="Arial" w:cs="Arial"/>
                <w:b w:val="0"/>
                <w:bCs w:val="0"/>
                <w:noProof/>
                <w:webHidden/>
              </w:rPr>
              <w:fldChar w:fldCharType="end"/>
            </w:r>
          </w:hyperlink>
        </w:p>
        <w:p w14:paraId="4932E2F6" w14:textId="71F68FC9" w:rsidR="005F6028" w:rsidRPr="00BE5AA7" w:rsidRDefault="00B45074" w:rsidP="005F6028">
          <w:pPr>
            <w:pStyle w:val="TOC1"/>
            <w:spacing w:line="240" w:lineRule="auto"/>
            <w:rPr>
              <w:rFonts w:ascii="Arial" w:hAnsi="Arial" w:cs="Arial"/>
              <w:b w:val="0"/>
              <w:bCs w:val="0"/>
              <w:noProof/>
            </w:rPr>
          </w:pPr>
          <w:hyperlink w:anchor="_Toc98325322" w:history="1">
            <w:r w:rsidR="005F6028" w:rsidRPr="00BE5AA7">
              <w:rPr>
                <w:rStyle w:val="Hyperlink"/>
                <w:rFonts w:ascii="Arial" w:hAnsi="Arial" w:cs="Arial"/>
                <w:b w:val="0"/>
                <w:bCs w:val="0"/>
                <w:noProof/>
              </w:rPr>
              <w:t>Report - Introduction</w:t>
            </w:r>
            <w:r w:rsidR="005F6028" w:rsidRPr="00BE5AA7">
              <w:rPr>
                <w:rFonts w:ascii="Arial" w:hAnsi="Arial" w:cs="Arial"/>
                <w:b w:val="0"/>
                <w:bCs w:val="0"/>
                <w:noProof/>
                <w:webHidden/>
              </w:rPr>
              <w:tab/>
            </w:r>
            <w:r w:rsidR="005F6028" w:rsidRPr="00BE5AA7">
              <w:rPr>
                <w:rFonts w:ascii="Arial" w:hAnsi="Arial" w:cs="Arial"/>
                <w:b w:val="0"/>
                <w:bCs w:val="0"/>
                <w:noProof/>
                <w:webHidden/>
              </w:rPr>
              <w:fldChar w:fldCharType="begin"/>
            </w:r>
            <w:r w:rsidR="005F6028" w:rsidRPr="00BE5AA7">
              <w:rPr>
                <w:rFonts w:ascii="Arial" w:hAnsi="Arial" w:cs="Arial"/>
                <w:b w:val="0"/>
                <w:bCs w:val="0"/>
                <w:noProof/>
                <w:webHidden/>
              </w:rPr>
              <w:instrText xml:space="preserve"> PAGEREF _Toc98325322 \h </w:instrText>
            </w:r>
            <w:r w:rsidR="005F6028" w:rsidRPr="00BE5AA7">
              <w:rPr>
                <w:rFonts w:ascii="Arial" w:hAnsi="Arial" w:cs="Arial"/>
                <w:b w:val="0"/>
                <w:bCs w:val="0"/>
                <w:noProof/>
                <w:webHidden/>
              </w:rPr>
            </w:r>
            <w:r w:rsidR="005F6028" w:rsidRPr="00BE5AA7">
              <w:rPr>
                <w:rFonts w:ascii="Arial" w:hAnsi="Arial" w:cs="Arial"/>
                <w:b w:val="0"/>
                <w:bCs w:val="0"/>
                <w:noProof/>
                <w:webHidden/>
              </w:rPr>
              <w:fldChar w:fldCharType="separate"/>
            </w:r>
            <w:r w:rsidR="005F6028" w:rsidRPr="00BE5AA7">
              <w:rPr>
                <w:rFonts w:ascii="Arial" w:hAnsi="Arial" w:cs="Arial"/>
                <w:b w:val="0"/>
                <w:bCs w:val="0"/>
                <w:noProof/>
                <w:webHidden/>
              </w:rPr>
              <w:t>3</w:t>
            </w:r>
            <w:r w:rsidR="005F6028" w:rsidRPr="00BE5AA7">
              <w:rPr>
                <w:rFonts w:ascii="Arial" w:hAnsi="Arial" w:cs="Arial"/>
                <w:b w:val="0"/>
                <w:bCs w:val="0"/>
                <w:noProof/>
                <w:webHidden/>
              </w:rPr>
              <w:fldChar w:fldCharType="end"/>
            </w:r>
          </w:hyperlink>
        </w:p>
        <w:p w14:paraId="4039D7E0" w14:textId="2D18D463" w:rsidR="005F6028" w:rsidRPr="00BE5AA7" w:rsidRDefault="00B45074" w:rsidP="005F6028">
          <w:pPr>
            <w:pStyle w:val="TOC2"/>
            <w:tabs>
              <w:tab w:val="right" w:leader="dot" w:pos="9350"/>
            </w:tabs>
            <w:spacing w:line="240" w:lineRule="auto"/>
            <w:rPr>
              <w:rFonts w:ascii="Arial" w:hAnsi="Arial" w:cs="Arial"/>
              <w:i w:val="0"/>
              <w:iCs w:val="0"/>
              <w:noProof/>
            </w:rPr>
          </w:pPr>
          <w:hyperlink w:anchor="_Toc98325323" w:history="1">
            <w:r w:rsidR="005F6028" w:rsidRPr="00BE5AA7">
              <w:rPr>
                <w:rStyle w:val="Hyperlink"/>
                <w:rFonts w:ascii="Arial" w:hAnsi="Arial" w:cs="Arial"/>
                <w:i w:val="0"/>
                <w:iCs w:val="0"/>
                <w:noProof/>
              </w:rPr>
              <w:t>Defining Financial Literacy</w:t>
            </w:r>
            <w:r w:rsidR="005F6028" w:rsidRPr="00BE5AA7">
              <w:rPr>
                <w:rFonts w:ascii="Arial" w:hAnsi="Arial" w:cs="Arial"/>
                <w:i w:val="0"/>
                <w:iCs w:val="0"/>
                <w:noProof/>
                <w:webHidden/>
              </w:rPr>
              <w:tab/>
            </w:r>
            <w:r w:rsidR="005F6028" w:rsidRPr="00BE5AA7">
              <w:rPr>
                <w:rFonts w:ascii="Arial" w:hAnsi="Arial" w:cs="Arial"/>
                <w:i w:val="0"/>
                <w:iCs w:val="0"/>
                <w:noProof/>
                <w:webHidden/>
              </w:rPr>
              <w:fldChar w:fldCharType="begin"/>
            </w:r>
            <w:r w:rsidR="005F6028" w:rsidRPr="00BE5AA7">
              <w:rPr>
                <w:rFonts w:ascii="Arial" w:hAnsi="Arial" w:cs="Arial"/>
                <w:i w:val="0"/>
                <w:iCs w:val="0"/>
                <w:noProof/>
                <w:webHidden/>
              </w:rPr>
              <w:instrText xml:space="preserve"> PAGEREF _Toc98325323 \h </w:instrText>
            </w:r>
            <w:r w:rsidR="005F6028" w:rsidRPr="00BE5AA7">
              <w:rPr>
                <w:rFonts w:ascii="Arial" w:hAnsi="Arial" w:cs="Arial"/>
                <w:i w:val="0"/>
                <w:iCs w:val="0"/>
                <w:noProof/>
                <w:webHidden/>
              </w:rPr>
            </w:r>
            <w:r w:rsidR="005F6028" w:rsidRPr="00BE5AA7">
              <w:rPr>
                <w:rFonts w:ascii="Arial" w:hAnsi="Arial" w:cs="Arial"/>
                <w:i w:val="0"/>
                <w:iCs w:val="0"/>
                <w:noProof/>
                <w:webHidden/>
              </w:rPr>
              <w:fldChar w:fldCharType="separate"/>
            </w:r>
            <w:r w:rsidR="005F6028" w:rsidRPr="00BE5AA7">
              <w:rPr>
                <w:rFonts w:ascii="Arial" w:hAnsi="Arial" w:cs="Arial"/>
                <w:i w:val="0"/>
                <w:iCs w:val="0"/>
                <w:noProof/>
                <w:webHidden/>
              </w:rPr>
              <w:t>3</w:t>
            </w:r>
            <w:r w:rsidR="005F6028" w:rsidRPr="00BE5AA7">
              <w:rPr>
                <w:rFonts w:ascii="Arial" w:hAnsi="Arial" w:cs="Arial"/>
                <w:i w:val="0"/>
                <w:iCs w:val="0"/>
                <w:noProof/>
                <w:webHidden/>
              </w:rPr>
              <w:fldChar w:fldCharType="end"/>
            </w:r>
          </w:hyperlink>
        </w:p>
        <w:p w14:paraId="061B846B" w14:textId="2B2453EB" w:rsidR="005F6028" w:rsidRPr="00BE5AA7" w:rsidRDefault="00B45074" w:rsidP="005F6028">
          <w:pPr>
            <w:pStyle w:val="TOC2"/>
            <w:tabs>
              <w:tab w:val="right" w:leader="dot" w:pos="9350"/>
            </w:tabs>
            <w:spacing w:line="240" w:lineRule="auto"/>
            <w:rPr>
              <w:rFonts w:ascii="Arial" w:hAnsi="Arial" w:cs="Arial"/>
              <w:i w:val="0"/>
              <w:iCs w:val="0"/>
              <w:noProof/>
            </w:rPr>
          </w:pPr>
          <w:hyperlink w:anchor="_Toc98325324" w:history="1">
            <w:r w:rsidR="005F6028" w:rsidRPr="00BE5AA7">
              <w:rPr>
                <w:rStyle w:val="Hyperlink"/>
                <w:rFonts w:ascii="Arial" w:hAnsi="Arial" w:cs="Arial"/>
                <w:i w:val="0"/>
                <w:iCs w:val="0"/>
                <w:noProof/>
              </w:rPr>
              <w:t>Background on Financial Literacy Education</w:t>
            </w:r>
            <w:r w:rsidR="005F6028" w:rsidRPr="00BE5AA7">
              <w:rPr>
                <w:rFonts w:ascii="Arial" w:hAnsi="Arial" w:cs="Arial"/>
                <w:i w:val="0"/>
                <w:iCs w:val="0"/>
                <w:noProof/>
                <w:webHidden/>
              </w:rPr>
              <w:tab/>
            </w:r>
            <w:r w:rsidR="005F6028" w:rsidRPr="00BE5AA7">
              <w:rPr>
                <w:rFonts w:ascii="Arial" w:hAnsi="Arial" w:cs="Arial"/>
                <w:i w:val="0"/>
                <w:iCs w:val="0"/>
                <w:noProof/>
                <w:webHidden/>
              </w:rPr>
              <w:fldChar w:fldCharType="begin"/>
            </w:r>
            <w:r w:rsidR="005F6028" w:rsidRPr="00BE5AA7">
              <w:rPr>
                <w:rFonts w:ascii="Arial" w:hAnsi="Arial" w:cs="Arial"/>
                <w:i w:val="0"/>
                <w:iCs w:val="0"/>
                <w:noProof/>
                <w:webHidden/>
              </w:rPr>
              <w:instrText xml:space="preserve"> PAGEREF _Toc98325324 \h </w:instrText>
            </w:r>
            <w:r w:rsidR="005F6028" w:rsidRPr="00BE5AA7">
              <w:rPr>
                <w:rFonts w:ascii="Arial" w:hAnsi="Arial" w:cs="Arial"/>
                <w:i w:val="0"/>
                <w:iCs w:val="0"/>
                <w:noProof/>
                <w:webHidden/>
              </w:rPr>
            </w:r>
            <w:r w:rsidR="005F6028" w:rsidRPr="00BE5AA7">
              <w:rPr>
                <w:rFonts w:ascii="Arial" w:hAnsi="Arial" w:cs="Arial"/>
                <w:i w:val="0"/>
                <w:iCs w:val="0"/>
                <w:noProof/>
                <w:webHidden/>
              </w:rPr>
              <w:fldChar w:fldCharType="separate"/>
            </w:r>
            <w:r w:rsidR="005F6028" w:rsidRPr="00BE5AA7">
              <w:rPr>
                <w:rFonts w:ascii="Arial" w:hAnsi="Arial" w:cs="Arial"/>
                <w:i w:val="0"/>
                <w:iCs w:val="0"/>
                <w:noProof/>
                <w:webHidden/>
              </w:rPr>
              <w:t>3</w:t>
            </w:r>
            <w:r w:rsidR="005F6028" w:rsidRPr="00BE5AA7">
              <w:rPr>
                <w:rFonts w:ascii="Arial" w:hAnsi="Arial" w:cs="Arial"/>
                <w:i w:val="0"/>
                <w:iCs w:val="0"/>
                <w:noProof/>
                <w:webHidden/>
              </w:rPr>
              <w:fldChar w:fldCharType="end"/>
            </w:r>
          </w:hyperlink>
        </w:p>
        <w:p w14:paraId="68B3C0C1" w14:textId="551B2069" w:rsidR="005F6028" w:rsidRPr="00BE5AA7" w:rsidRDefault="00B45074" w:rsidP="005F6028">
          <w:pPr>
            <w:pStyle w:val="TOC2"/>
            <w:tabs>
              <w:tab w:val="right" w:leader="dot" w:pos="9350"/>
            </w:tabs>
            <w:spacing w:line="240" w:lineRule="auto"/>
            <w:rPr>
              <w:rFonts w:ascii="Arial" w:hAnsi="Arial" w:cs="Arial"/>
              <w:i w:val="0"/>
              <w:iCs w:val="0"/>
              <w:noProof/>
            </w:rPr>
          </w:pPr>
          <w:hyperlink w:anchor="_Toc98325325" w:history="1">
            <w:r w:rsidR="005F6028" w:rsidRPr="00BE5AA7">
              <w:rPr>
                <w:rStyle w:val="Hyperlink"/>
                <w:rFonts w:ascii="Arial" w:hAnsi="Arial" w:cs="Arial"/>
                <w:i w:val="0"/>
                <w:iCs w:val="0"/>
                <w:noProof/>
              </w:rPr>
              <w:t>Common Financial Products</w:t>
            </w:r>
            <w:r w:rsidR="005F6028" w:rsidRPr="00BE5AA7">
              <w:rPr>
                <w:rFonts w:ascii="Arial" w:hAnsi="Arial" w:cs="Arial"/>
                <w:i w:val="0"/>
                <w:iCs w:val="0"/>
                <w:noProof/>
                <w:webHidden/>
              </w:rPr>
              <w:tab/>
            </w:r>
            <w:r w:rsidR="005F6028" w:rsidRPr="00BE5AA7">
              <w:rPr>
                <w:rFonts w:ascii="Arial" w:hAnsi="Arial" w:cs="Arial"/>
                <w:i w:val="0"/>
                <w:iCs w:val="0"/>
                <w:noProof/>
                <w:webHidden/>
              </w:rPr>
              <w:fldChar w:fldCharType="begin"/>
            </w:r>
            <w:r w:rsidR="005F6028" w:rsidRPr="00BE5AA7">
              <w:rPr>
                <w:rFonts w:ascii="Arial" w:hAnsi="Arial" w:cs="Arial"/>
                <w:i w:val="0"/>
                <w:iCs w:val="0"/>
                <w:noProof/>
                <w:webHidden/>
              </w:rPr>
              <w:instrText xml:space="preserve"> PAGEREF _Toc98325325 \h </w:instrText>
            </w:r>
            <w:r w:rsidR="005F6028" w:rsidRPr="00BE5AA7">
              <w:rPr>
                <w:rFonts w:ascii="Arial" w:hAnsi="Arial" w:cs="Arial"/>
                <w:i w:val="0"/>
                <w:iCs w:val="0"/>
                <w:noProof/>
                <w:webHidden/>
              </w:rPr>
            </w:r>
            <w:r w:rsidR="005F6028" w:rsidRPr="00BE5AA7">
              <w:rPr>
                <w:rFonts w:ascii="Arial" w:hAnsi="Arial" w:cs="Arial"/>
                <w:i w:val="0"/>
                <w:iCs w:val="0"/>
                <w:noProof/>
                <w:webHidden/>
              </w:rPr>
              <w:fldChar w:fldCharType="separate"/>
            </w:r>
            <w:r w:rsidR="005F6028" w:rsidRPr="00BE5AA7">
              <w:rPr>
                <w:rFonts w:ascii="Arial" w:hAnsi="Arial" w:cs="Arial"/>
                <w:i w:val="0"/>
                <w:iCs w:val="0"/>
                <w:noProof/>
                <w:webHidden/>
              </w:rPr>
              <w:t>4</w:t>
            </w:r>
            <w:r w:rsidR="005F6028" w:rsidRPr="00BE5AA7">
              <w:rPr>
                <w:rFonts w:ascii="Arial" w:hAnsi="Arial" w:cs="Arial"/>
                <w:i w:val="0"/>
                <w:iCs w:val="0"/>
                <w:noProof/>
                <w:webHidden/>
              </w:rPr>
              <w:fldChar w:fldCharType="end"/>
            </w:r>
          </w:hyperlink>
        </w:p>
        <w:p w14:paraId="52F69BAE" w14:textId="74FB9096" w:rsidR="005F6028" w:rsidRPr="00BE5AA7" w:rsidRDefault="00B45074" w:rsidP="005F6028">
          <w:pPr>
            <w:pStyle w:val="TOC3"/>
            <w:tabs>
              <w:tab w:val="right" w:leader="dot" w:pos="9350"/>
            </w:tabs>
            <w:spacing w:line="240" w:lineRule="auto"/>
            <w:rPr>
              <w:rFonts w:ascii="Arial" w:hAnsi="Arial" w:cs="Arial"/>
              <w:noProof/>
            </w:rPr>
          </w:pPr>
          <w:hyperlink w:anchor="_Toc98325326" w:history="1">
            <w:r w:rsidR="005F6028" w:rsidRPr="00BE5AA7">
              <w:rPr>
                <w:rStyle w:val="Hyperlink"/>
                <w:rFonts w:ascii="Arial" w:hAnsi="Arial" w:cs="Arial"/>
                <w:noProof/>
              </w:rPr>
              <w:t>Savings Products</w:t>
            </w:r>
            <w:r w:rsidR="005F6028" w:rsidRPr="00BE5AA7">
              <w:rPr>
                <w:rFonts w:ascii="Arial" w:hAnsi="Arial" w:cs="Arial"/>
                <w:noProof/>
                <w:webHidden/>
              </w:rPr>
              <w:tab/>
            </w:r>
            <w:r w:rsidR="005F6028" w:rsidRPr="00BE5AA7">
              <w:rPr>
                <w:rFonts w:ascii="Arial" w:hAnsi="Arial" w:cs="Arial"/>
                <w:noProof/>
                <w:webHidden/>
              </w:rPr>
              <w:fldChar w:fldCharType="begin"/>
            </w:r>
            <w:r w:rsidR="005F6028" w:rsidRPr="00BE5AA7">
              <w:rPr>
                <w:rFonts w:ascii="Arial" w:hAnsi="Arial" w:cs="Arial"/>
                <w:noProof/>
                <w:webHidden/>
              </w:rPr>
              <w:instrText xml:space="preserve"> PAGEREF _Toc98325326 \h </w:instrText>
            </w:r>
            <w:r w:rsidR="005F6028" w:rsidRPr="00BE5AA7">
              <w:rPr>
                <w:rFonts w:ascii="Arial" w:hAnsi="Arial" w:cs="Arial"/>
                <w:noProof/>
                <w:webHidden/>
              </w:rPr>
            </w:r>
            <w:r w:rsidR="005F6028" w:rsidRPr="00BE5AA7">
              <w:rPr>
                <w:rFonts w:ascii="Arial" w:hAnsi="Arial" w:cs="Arial"/>
                <w:noProof/>
                <w:webHidden/>
              </w:rPr>
              <w:fldChar w:fldCharType="separate"/>
            </w:r>
            <w:r w:rsidR="005F6028" w:rsidRPr="00BE5AA7">
              <w:rPr>
                <w:rFonts w:ascii="Arial" w:hAnsi="Arial" w:cs="Arial"/>
                <w:noProof/>
                <w:webHidden/>
              </w:rPr>
              <w:t>4</w:t>
            </w:r>
            <w:r w:rsidR="005F6028" w:rsidRPr="00BE5AA7">
              <w:rPr>
                <w:rFonts w:ascii="Arial" w:hAnsi="Arial" w:cs="Arial"/>
                <w:noProof/>
                <w:webHidden/>
              </w:rPr>
              <w:fldChar w:fldCharType="end"/>
            </w:r>
          </w:hyperlink>
        </w:p>
        <w:p w14:paraId="59BF4DCF" w14:textId="61FEBB2D" w:rsidR="005F6028" w:rsidRPr="00BE5AA7" w:rsidRDefault="00B45074" w:rsidP="005F6028">
          <w:pPr>
            <w:pStyle w:val="TOC3"/>
            <w:tabs>
              <w:tab w:val="right" w:leader="dot" w:pos="9350"/>
            </w:tabs>
            <w:spacing w:line="240" w:lineRule="auto"/>
            <w:rPr>
              <w:rFonts w:ascii="Arial" w:hAnsi="Arial" w:cs="Arial"/>
              <w:noProof/>
            </w:rPr>
          </w:pPr>
          <w:hyperlink w:anchor="_Toc98325327" w:history="1">
            <w:r w:rsidR="005F6028" w:rsidRPr="00BE5AA7">
              <w:rPr>
                <w:rStyle w:val="Hyperlink"/>
                <w:rFonts w:ascii="Arial" w:hAnsi="Arial" w:cs="Arial"/>
                <w:noProof/>
              </w:rPr>
              <w:t>Credit Products</w:t>
            </w:r>
            <w:r w:rsidR="005F6028" w:rsidRPr="00BE5AA7">
              <w:rPr>
                <w:rFonts w:ascii="Arial" w:hAnsi="Arial" w:cs="Arial"/>
                <w:noProof/>
                <w:webHidden/>
              </w:rPr>
              <w:tab/>
            </w:r>
            <w:r w:rsidR="005F6028" w:rsidRPr="00BE5AA7">
              <w:rPr>
                <w:rFonts w:ascii="Arial" w:hAnsi="Arial" w:cs="Arial"/>
                <w:noProof/>
                <w:webHidden/>
              </w:rPr>
              <w:fldChar w:fldCharType="begin"/>
            </w:r>
            <w:r w:rsidR="005F6028" w:rsidRPr="00BE5AA7">
              <w:rPr>
                <w:rFonts w:ascii="Arial" w:hAnsi="Arial" w:cs="Arial"/>
                <w:noProof/>
                <w:webHidden/>
              </w:rPr>
              <w:instrText xml:space="preserve"> PAGEREF _Toc98325327 \h </w:instrText>
            </w:r>
            <w:r w:rsidR="005F6028" w:rsidRPr="00BE5AA7">
              <w:rPr>
                <w:rFonts w:ascii="Arial" w:hAnsi="Arial" w:cs="Arial"/>
                <w:noProof/>
                <w:webHidden/>
              </w:rPr>
            </w:r>
            <w:r w:rsidR="005F6028" w:rsidRPr="00BE5AA7">
              <w:rPr>
                <w:rFonts w:ascii="Arial" w:hAnsi="Arial" w:cs="Arial"/>
                <w:noProof/>
                <w:webHidden/>
              </w:rPr>
              <w:fldChar w:fldCharType="separate"/>
            </w:r>
            <w:r w:rsidR="005F6028" w:rsidRPr="00BE5AA7">
              <w:rPr>
                <w:rFonts w:ascii="Arial" w:hAnsi="Arial" w:cs="Arial"/>
                <w:noProof/>
                <w:webHidden/>
              </w:rPr>
              <w:t>4</w:t>
            </w:r>
            <w:r w:rsidR="005F6028" w:rsidRPr="00BE5AA7">
              <w:rPr>
                <w:rFonts w:ascii="Arial" w:hAnsi="Arial" w:cs="Arial"/>
                <w:noProof/>
                <w:webHidden/>
              </w:rPr>
              <w:fldChar w:fldCharType="end"/>
            </w:r>
          </w:hyperlink>
        </w:p>
        <w:p w14:paraId="1B18D1BF" w14:textId="6560CCC5" w:rsidR="005F6028" w:rsidRPr="00BE5AA7" w:rsidRDefault="00B45074" w:rsidP="005F6028">
          <w:pPr>
            <w:pStyle w:val="TOC3"/>
            <w:tabs>
              <w:tab w:val="right" w:leader="dot" w:pos="9350"/>
            </w:tabs>
            <w:spacing w:line="240" w:lineRule="auto"/>
            <w:rPr>
              <w:rFonts w:ascii="Arial" w:hAnsi="Arial" w:cs="Arial"/>
              <w:noProof/>
            </w:rPr>
          </w:pPr>
          <w:hyperlink w:anchor="_Toc98325328" w:history="1">
            <w:r w:rsidR="005F6028" w:rsidRPr="00BE5AA7">
              <w:rPr>
                <w:rStyle w:val="Hyperlink"/>
                <w:rFonts w:ascii="Arial" w:hAnsi="Arial" w:cs="Arial"/>
                <w:noProof/>
              </w:rPr>
              <w:t>Investment Products</w:t>
            </w:r>
            <w:r w:rsidR="005F6028" w:rsidRPr="00BE5AA7">
              <w:rPr>
                <w:rFonts w:ascii="Arial" w:hAnsi="Arial" w:cs="Arial"/>
                <w:noProof/>
                <w:webHidden/>
              </w:rPr>
              <w:tab/>
            </w:r>
            <w:r w:rsidR="005F6028" w:rsidRPr="00BE5AA7">
              <w:rPr>
                <w:rFonts w:ascii="Arial" w:hAnsi="Arial" w:cs="Arial"/>
                <w:noProof/>
                <w:webHidden/>
              </w:rPr>
              <w:fldChar w:fldCharType="begin"/>
            </w:r>
            <w:r w:rsidR="005F6028" w:rsidRPr="00BE5AA7">
              <w:rPr>
                <w:rFonts w:ascii="Arial" w:hAnsi="Arial" w:cs="Arial"/>
                <w:noProof/>
                <w:webHidden/>
              </w:rPr>
              <w:instrText xml:space="preserve"> PAGEREF _Toc98325328 \h </w:instrText>
            </w:r>
            <w:r w:rsidR="005F6028" w:rsidRPr="00BE5AA7">
              <w:rPr>
                <w:rFonts w:ascii="Arial" w:hAnsi="Arial" w:cs="Arial"/>
                <w:noProof/>
                <w:webHidden/>
              </w:rPr>
            </w:r>
            <w:r w:rsidR="005F6028" w:rsidRPr="00BE5AA7">
              <w:rPr>
                <w:rFonts w:ascii="Arial" w:hAnsi="Arial" w:cs="Arial"/>
                <w:noProof/>
                <w:webHidden/>
              </w:rPr>
              <w:fldChar w:fldCharType="separate"/>
            </w:r>
            <w:r w:rsidR="005F6028" w:rsidRPr="00BE5AA7">
              <w:rPr>
                <w:rFonts w:ascii="Arial" w:hAnsi="Arial" w:cs="Arial"/>
                <w:noProof/>
                <w:webHidden/>
              </w:rPr>
              <w:t>4</w:t>
            </w:r>
            <w:r w:rsidR="005F6028" w:rsidRPr="00BE5AA7">
              <w:rPr>
                <w:rFonts w:ascii="Arial" w:hAnsi="Arial" w:cs="Arial"/>
                <w:noProof/>
                <w:webHidden/>
              </w:rPr>
              <w:fldChar w:fldCharType="end"/>
            </w:r>
          </w:hyperlink>
        </w:p>
        <w:p w14:paraId="2233542C" w14:textId="08C2A18F" w:rsidR="005F6028" w:rsidRPr="00BE5AA7" w:rsidRDefault="00B45074" w:rsidP="005F6028">
          <w:pPr>
            <w:pStyle w:val="TOC2"/>
            <w:tabs>
              <w:tab w:val="right" w:leader="dot" w:pos="9350"/>
            </w:tabs>
            <w:spacing w:line="240" w:lineRule="auto"/>
            <w:rPr>
              <w:rFonts w:ascii="Arial" w:hAnsi="Arial" w:cs="Arial"/>
              <w:i w:val="0"/>
              <w:iCs w:val="0"/>
              <w:noProof/>
            </w:rPr>
          </w:pPr>
          <w:hyperlink w:anchor="_Toc98325329" w:history="1">
            <w:r w:rsidR="005F6028" w:rsidRPr="00BE5AA7">
              <w:rPr>
                <w:rStyle w:val="Hyperlink"/>
                <w:rFonts w:ascii="Arial" w:hAnsi="Arial" w:cs="Arial"/>
                <w:i w:val="0"/>
                <w:iCs w:val="0"/>
                <w:noProof/>
              </w:rPr>
              <w:t>Purpose of this report</w:t>
            </w:r>
            <w:r w:rsidR="005F6028" w:rsidRPr="00BE5AA7">
              <w:rPr>
                <w:rFonts w:ascii="Arial" w:hAnsi="Arial" w:cs="Arial"/>
                <w:i w:val="0"/>
                <w:iCs w:val="0"/>
                <w:noProof/>
                <w:webHidden/>
              </w:rPr>
              <w:tab/>
            </w:r>
            <w:r w:rsidR="005F6028" w:rsidRPr="00BE5AA7">
              <w:rPr>
                <w:rFonts w:ascii="Arial" w:hAnsi="Arial" w:cs="Arial"/>
                <w:i w:val="0"/>
                <w:iCs w:val="0"/>
                <w:noProof/>
                <w:webHidden/>
              </w:rPr>
              <w:fldChar w:fldCharType="begin"/>
            </w:r>
            <w:r w:rsidR="005F6028" w:rsidRPr="00BE5AA7">
              <w:rPr>
                <w:rFonts w:ascii="Arial" w:hAnsi="Arial" w:cs="Arial"/>
                <w:i w:val="0"/>
                <w:iCs w:val="0"/>
                <w:noProof/>
                <w:webHidden/>
              </w:rPr>
              <w:instrText xml:space="preserve"> PAGEREF _Toc98325329 \h </w:instrText>
            </w:r>
            <w:r w:rsidR="005F6028" w:rsidRPr="00BE5AA7">
              <w:rPr>
                <w:rFonts w:ascii="Arial" w:hAnsi="Arial" w:cs="Arial"/>
                <w:i w:val="0"/>
                <w:iCs w:val="0"/>
                <w:noProof/>
                <w:webHidden/>
              </w:rPr>
            </w:r>
            <w:r w:rsidR="005F6028" w:rsidRPr="00BE5AA7">
              <w:rPr>
                <w:rFonts w:ascii="Arial" w:hAnsi="Arial" w:cs="Arial"/>
                <w:i w:val="0"/>
                <w:iCs w:val="0"/>
                <w:noProof/>
                <w:webHidden/>
              </w:rPr>
              <w:fldChar w:fldCharType="separate"/>
            </w:r>
            <w:r w:rsidR="005F6028" w:rsidRPr="00BE5AA7">
              <w:rPr>
                <w:rFonts w:ascii="Arial" w:hAnsi="Arial" w:cs="Arial"/>
                <w:i w:val="0"/>
                <w:iCs w:val="0"/>
                <w:noProof/>
                <w:webHidden/>
              </w:rPr>
              <w:t>5</w:t>
            </w:r>
            <w:r w:rsidR="005F6028" w:rsidRPr="00BE5AA7">
              <w:rPr>
                <w:rFonts w:ascii="Arial" w:hAnsi="Arial" w:cs="Arial"/>
                <w:i w:val="0"/>
                <w:iCs w:val="0"/>
                <w:noProof/>
                <w:webHidden/>
              </w:rPr>
              <w:fldChar w:fldCharType="end"/>
            </w:r>
          </w:hyperlink>
        </w:p>
        <w:p w14:paraId="2630CFE9" w14:textId="1F22BA43" w:rsidR="005F6028" w:rsidRPr="00BE5AA7" w:rsidRDefault="00B45074" w:rsidP="005F6028">
          <w:pPr>
            <w:pStyle w:val="TOC2"/>
            <w:tabs>
              <w:tab w:val="right" w:leader="dot" w:pos="9350"/>
            </w:tabs>
            <w:spacing w:line="240" w:lineRule="auto"/>
            <w:rPr>
              <w:rFonts w:ascii="Arial" w:hAnsi="Arial" w:cs="Arial"/>
              <w:i w:val="0"/>
              <w:iCs w:val="0"/>
              <w:noProof/>
            </w:rPr>
          </w:pPr>
          <w:hyperlink w:anchor="_Toc98325330" w:history="1">
            <w:r w:rsidR="005F6028" w:rsidRPr="00BE5AA7">
              <w:rPr>
                <w:rStyle w:val="Hyperlink"/>
                <w:rFonts w:ascii="Arial" w:hAnsi="Arial" w:cs="Arial"/>
                <w:i w:val="0"/>
                <w:iCs w:val="0"/>
                <w:noProof/>
              </w:rPr>
              <w:t>Scope &amp; Methods of Inquiry</w:t>
            </w:r>
            <w:r w:rsidR="005F6028" w:rsidRPr="00BE5AA7">
              <w:rPr>
                <w:rFonts w:ascii="Arial" w:hAnsi="Arial" w:cs="Arial"/>
                <w:i w:val="0"/>
                <w:iCs w:val="0"/>
                <w:noProof/>
                <w:webHidden/>
              </w:rPr>
              <w:tab/>
            </w:r>
            <w:r w:rsidR="005F6028" w:rsidRPr="00BE5AA7">
              <w:rPr>
                <w:rFonts w:ascii="Arial" w:hAnsi="Arial" w:cs="Arial"/>
                <w:i w:val="0"/>
                <w:iCs w:val="0"/>
                <w:noProof/>
                <w:webHidden/>
              </w:rPr>
              <w:fldChar w:fldCharType="begin"/>
            </w:r>
            <w:r w:rsidR="005F6028" w:rsidRPr="00BE5AA7">
              <w:rPr>
                <w:rFonts w:ascii="Arial" w:hAnsi="Arial" w:cs="Arial"/>
                <w:i w:val="0"/>
                <w:iCs w:val="0"/>
                <w:noProof/>
                <w:webHidden/>
              </w:rPr>
              <w:instrText xml:space="preserve"> PAGEREF _Toc98325330 \h </w:instrText>
            </w:r>
            <w:r w:rsidR="005F6028" w:rsidRPr="00BE5AA7">
              <w:rPr>
                <w:rFonts w:ascii="Arial" w:hAnsi="Arial" w:cs="Arial"/>
                <w:i w:val="0"/>
                <w:iCs w:val="0"/>
                <w:noProof/>
                <w:webHidden/>
              </w:rPr>
            </w:r>
            <w:r w:rsidR="005F6028" w:rsidRPr="00BE5AA7">
              <w:rPr>
                <w:rFonts w:ascii="Arial" w:hAnsi="Arial" w:cs="Arial"/>
                <w:i w:val="0"/>
                <w:iCs w:val="0"/>
                <w:noProof/>
                <w:webHidden/>
              </w:rPr>
              <w:fldChar w:fldCharType="separate"/>
            </w:r>
            <w:r w:rsidR="005F6028" w:rsidRPr="00BE5AA7">
              <w:rPr>
                <w:rFonts w:ascii="Arial" w:hAnsi="Arial" w:cs="Arial"/>
                <w:i w:val="0"/>
                <w:iCs w:val="0"/>
                <w:noProof/>
                <w:webHidden/>
              </w:rPr>
              <w:t>5</w:t>
            </w:r>
            <w:r w:rsidR="005F6028" w:rsidRPr="00BE5AA7">
              <w:rPr>
                <w:rFonts w:ascii="Arial" w:hAnsi="Arial" w:cs="Arial"/>
                <w:i w:val="0"/>
                <w:iCs w:val="0"/>
                <w:noProof/>
                <w:webHidden/>
              </w:rPr>
              <w:fldChar w:fldCharType="end"/>
            </w:r>
          </w:hyperlink>
        </w:p>
        <w:p w14:paraId="39A4F2C4" w14:textId="69F82F18" w:rsidR="005F6028" w:rsidRPr="00BE5AA7" w:rsidRDefault="00B45074" w:rsidP="005F6028">
          <w:pPr>
            <w:pStyle w:val="TOC1"/>
            <w:spacing w:line="240" w:lineRule="auto"/>
            <w:rPr>
              <w:rFonts w:ascii="Arial" w:hAnsi="Arial" w:cs="Arial"/>
              <w:b w:val="0"/>
              <w:bCs w:val="0"/>
              <w:noProof/>
            </w:rPr>
          </w:pPr>
          <w:hyperlink w:anchor="_Toc98325331" w:history="1">
            <w:r w:rsidR="005F6028" w:rsidRPr="00BE5AA7">
              <w:rPr>
                <w:rStyle w:val="Hyperlink"/>
                <w:rFonts w:ascii="Arial" w:hAnsi="Arial" w:cs="Arial"/>
                <w:b w:val="0"/>
                <w:bCs w:val="0"/>
                <w:noProof/>
              </w:rPr>
              <w:t>Report - Data</w:t>
            </w:r>
            <w:r w:rsidR="005F6028" w:rsidRPr="00BE5AA7">
              <w:rPr>
                <w:rFonts w:ascii="Arial" w:hAnsi="Arial" w:cs="Arial"/>
                <w:b w:val="0"/>
                <w:bCs w:val="0"/>
                <w:noProof/>
                <w:webHidden/>
              </w:rPr>
              <w:tab/>
            </w:r>
            <w:r w:rsidR="005F6028" w:rsidRPr="00BE5AA7">
              <w:rPr>
                <w:rFonts w:ascii="Arial" w:hAnsi="Arial" w:cs="Arial"/>
                <w:b w:val="0"/>
                <w:bCs w:val="0"/>
                <w:noProof/>
                <w:webHidden/>
              </w:rPr>
              <w:fldChar w:fldCharType="begin"/>
            </w:r>
            <w:r w:rsidR="005F6028" w:rsidRPr="00BE5AA7">
              <w:rPr>
                <w:rFonts w:ascii="Arial" w:hAnsi="Arial" w:cs="Arial"/>
                <w:b w:val="0"/>
                <w:bCs w:val="0"/>
                <w:noProof/>
                <w:webHidden/>
              </w:rPr>
              <w:instrText xml:space="preserve"> PAGEREF _Toc98325331 \h </w:instrText>
            </w:r>
            <w:r w:rsidR="005F6028" w:rsidRPr="00BE5AA7">
              <w:rPr>
                <w:rFonts w:ascii="Arial" w:hAnsi="Arial" w:cs="Arial"/>
                <w:b w:val="0"/>
                <w:bCs w:val="0"/>
                <w:noProof/>
                <w:webHidden/>
              </w:rPr>
            </w:r>
            <w:r w:rsidR="005F6028" w:rsidRPr="00BE5AA7">
              <w:rPr>
                <w:rFonts w:ascii="Arial" w:hAnsi="Arial" w:cs="Arial"/>
                <w:b w:val="0"/>
                <w:bCs w:val="0"/>
                <w:noProof/>
                <w:webHidden/>
              </w:rPr>
              <w:fldChar w:fldCharType="separate"/>
            </w:r>
            <w:r w:rsidR="005F6028" w:rsidRPr="00BE5AA7">
              <w:rPr>
                <w:rFonts w:ascii="Arial" w:hAnsi="Arial" w:cs="Arial"/>
                <w:b w:val="0"/>
                <w:bCs w:val="0"/>
                <w:noProof/>
                <w:webHidden/>
              </w:rPr>
              <w:t>6</w:t>
            </w:r>
            <w:r w:rsidR="005F6028" w:rsidRPr="00BE5AA7">
              <w:rPr>
                <w:rFonts w:ascii="Arial" w:hAnsi="Arial" w:cs="Arial"/>
                <w:b w:val="0"/>
                <w:bCs w:val="0"/>
                <w:noProof/>
                <w:webHidden/>
              </w:rPr>
              <w:fldChar w:fldCharType="end"/>
            </w:r>
          </w:hyperlink>
        </w:p>
        <w:p w14:paraId="080209DF" w14:textId="4A106481" w:rsidR="005F6028" w:rsidRPr="00BE5AA7" w:rsidRDefault="00B45074" w:rsidP="005F6028">
          <w:pPr>
            <w:pStyle w:val="TOC2"/>
            <w:tabs>
              <w:tab w:val="right" w:leader="dot" w:pos="9350"/>
            </w:tabs>
            <w:spacing w:line="240" w:lineRule="auto"/>
            <w:rPr>
              <w:rFonts w:ascii="Arial" w:hAnsi="Arial" w:cs="Arial"/>
              <w:i w:val="0"/>
              <w:iCs w:val="0"/>
              <w:noProof/>
            </w:rPr>
          </w:pPr>
          <w:hyperlink w:anchor="_Toc98325332" w:history="1">
            <w:r w:rsidR="005F6028" w:rsidRPr="00BE5AA7">
              <w:rPr>
                <w:rStyle w:val="Hyperlink"/>
                <w:rFonts w:ascii="Arial" w:hAnsi="Arial" w:cs="Arial"/>
                <w:i w:val="0"/>
                <w:iCs w:val="0"/>
                <w:noProof/>
              </w:rPr>
              <w:t>Existing UBC &amp; AMS Financial Literacy Resources</w:t>
            </w:r>
            <w:r w:rsidR="005F6028" w:rsidRPr="00BE5AA7">
              <w:rPr>
                <w:rFonts w:ascii="Arial" w:hAnsi="Arial" w:cs="Arial"/>
                <w:i w:val="0"/>
                <w:iCs w:val="0"/>
                <w:noProof/>
                <w:webHidden/>
              </w:rPr>
              <w:tab/>
            </w:r>
            <w:r w:rsidR="005F6028" w:rsidRPr="00BE5AA7">
              <w:rPr>
                <w:rFonts w:ascii="Arial" w:hAnsi="Arial" w:cs="Arial"/>
                <w:i w:val="0"/>
                <w:iCs w:val="0"/>
                <w:noProof/>
                <w:webHidden/>
              </w:rPr>
              <w:fldChar w:fldCharType="begin"/>
            </w:r>
            <w:r w:rsidR="005F6028" w:rsidRPr="00BE5AA7">
              <w:rPr>
                <w:rFonts w:ascii="Arial" w:hAnsi="Arial" w:cs="Arial"/>
                <w:i w:val="0"/>
                <w:iCs w:val="0"/>
                <w:noProof/>
                <w:webHidden/>
              </w:rPr>
              <w:instrText xml:space="preserve"> PAGEREF _Toc98325332 \h </w:instrText>
            </w:r>
            <w:r w:rsidR="005F6028" w:rsidRPr="00BE5AA7">
              <w:rPr>
                <w:rFonts w:ascii="Arial" w:hAnsi="Arial" w:cs="Arial"/>
                <w:i w:val="0"/>
                <w:iCs w:val="0"/>
                <w:noProof/>
                <w:webHidden/>
              </w:rPr>
            </w:r>
            <w:r w:rsidR="005F6028" w:rsidRPr="00BE5AA7">
              <w:rPr>
                <w:rFonts w:ascii="Arial" w:hAnsi="Arial" w:cs="Arial"/>
                <w:i w:val="0"/>
                <w:iCs w:val="0"/>
                <w:noProof/>
                <w:webHidden/>
              </w:rPr>
              <w:fldChar w:fldCharType="separate"/>
            </w:r>
            <w:r w:rsidR="005F6028" w:rsidRPr="00BE5AA7">
              <w:rPr>
                <w:rFonts w:ascii="Arial" w:hAnsi="Arial" w:cs="Arial"/>
                <w:i w:val="0"/>
                <w:iCs w:val="0"/>
                <w:noProof/>
                <w:webHidden/>
              </w:rPr>
              <w:t>6</w:t>
            </w:r>
            <w:r w:rsidR="005F6028" w:rsidRPr="00BE5AA7">
              <w:rPr>
                <w:rFonts w:ascii="Arial" w:hAnsi="Arial" w:cs="Arial"/>
                <w:i w:val="0"/>
                <w:iCs w:val="0"/>
                <w:noProof/>
                <w:webHidden/>
              </w:rPr>
              <w:fldChar w:fldCharType="end"/>
            </w:r>
          </w:hyperlink>
        </w:p>
        <w:p w14:paraId="51415A1F" w14:textId="2BE21606" w:rsidR="005F6028" w:rsidRPr="00BE5AA7" w:rsidRDefault="00B45074" w:rsidP="005F6028">
          <w:pPr>
            <w:pStyle w:val="TOC3"/>
            <w:tabs>
              <w:tab w:val="right" w:leader="dot" w:pos="9350"/>
            </w:tabs>
            <w:spacing w:line="240" w:lineRule="auto"/>
            <w:rPr>
              <w:rFonts w:ascii="Arial" w:hAnsi="Arial" w:cs="Arial"/>
              <w:noProof/>
            </w:rPr>
          </w:pPr>
          <w:hyperlink w:anchor="_Toc98325333" w:history="1">
            <w:r w:rsidR="005F6028" w:rsidRPr="00BE5AA7">
              <w:rPr>
                <w:rStyle w:val="Hyperlink"/>
                <w:rFonts w:ascii="Arial" w:hAnsi="Arial" w:cs="Arial"/>
                <w:noProof/>
              </w:rPr>
              <w:t>UBC Online Resources</w:t>
            </w:r>
            <w:r w:rsidR="005F6028" w:rsidRPr="00BE5AA7">
              <w:rPr>
                <w:rFonts w:ascii="Arial" w:hAnsi="Arial" w:cs="Arial"/>
                <w:noProof/>
                <w:webHidden/>
              </w:rPr>
              <w:tab/>
            </w:r>
            <w:r w:rsidR="005F6028" w:rsidRPr="00BE5AA7">
              <w:rPr>
                <w:rFonts w:ascii="Arial" w:hAnsi="Arial" w:cs="Arial"/>
                <w:noProof/>
                <w:webHidden/>
              </w:rPr>
              <w:fldChar w:fldCharType="begin"/>
            </w:r>
            <w:r w:rsidR="005F6028" w:rsidRPr="00BE5AA7">
              <w:rPr>
                <w:rFonts w:ascii="Arial" w:hAnsi="Arial" w:cs="Arial"/>
                <w:noProof/>
                <w:webHidden/>
              </w:rPr>
              <w:instrText xml:space="preserve"> PAGEREF _Toc98325333 \h </w:instrText>
            </w:r>
            <w:r w:rsidR="005F6028" w:rsidRPr="00BE5AA7">
              <w:rPr>
                <w:rFonts w:ascii="Arial" w:hAnsi="Arial" w:cs="Arial"/>
                <w:noProof/>
                <w:webHidden/>
              </w:rPr>
            </w:r>
            <w:r w:rsidR="005F6028" w:rsidRPr="00BE5AA7">
              <w:rPr>
                <w:rFonts w:ascii="Arial" w:hAnsi="Arial" w:cs="Arial"/>
                <w:noProof/>
                <w:webHidden/>
              </w:rPr>
              <w:fldChar w:fldCharType="separate"/>
            </w:r>
            <w:r w:rsidR="005F6028" w:rsidRPr="00BE5AA7">
              <w:rPr>
                <w:rFonts w:ascii="Arial" w:hAnsi="Arial" w:cs="Arial"/>
                <w:noProof/>
                <w:webHidden/>
              </w:rPr>
              <w:t>6</w:t>
            </w:r>
            <w:r w:rsidR="005F6028" w:rsidRPr="00BE5AA7">
              <w:rPr>
                <w:rFonts w:ascii="Arial" w:hAnsi="Arial" w:cs="Arial"/>
                <w:noProof/>
                <w:webHidden/>
              </w:rPr>
              <w:fldChar w:fldCharType="end"/>
            </w:r>
          </w:hyperlink>
        </w:p>
        <w:p w14:paraId="532B343F" w14:textId="11EA1116" w:rsidR="005F6028" w:rsidRPr="00BE5AA7" w:rsidRDefault="00B45074" w:rsidP="005F6028">
          <w:pPr>
            <w:pStyle w:val="TOC3"/>
            <w:tabs>
              <w:tab w:val="right" w:leader="dot" w:pos="9350"/>
            </w:tabs>
            <w:spacing w:line="240" w:lineRule="auto"/>
            <w:rPr>
              <w:rFonts w:ascii="Arial" w:hAnsi="Arial" w:cs="Arial"/>
              <w:noProof/>
            </w:rPr>
          </w:pPr>
          <w:hyperlink w:anchor="_Toc98325334" w:history="1">
            <w:r w:rsidR="005F6028" w:rsidRPr="00BE5AA7">
              <w:rPr>
                <w:rStyle w:val="Hyperlink"/>
                <w:rFonts w:ascii="Arial" w:hAnsi="Arial" w:cs="Arial"/>
                <w:noProof/>
              </w:rPr>
              <w:t>AMS Online Resources</w:t>
            </w:r>
            <w:r w:rsidR="005F6028" w:rsidRPr="00BE5AA7">
              <w:rPr>
                <w:rFonts w:ascii="Arial" w:hAnsi="Arial" w:cs="Arial"/>
                <w:noProof/>
                <w:webHidden/>
              </w:rPr>
              <w:tab/>
            </w:r>
            <w:r w:rsidR="005F6028" w:rsidRPr="00BE5AA7">
              <w:rPr>
                <w:rFonts w:ascii="Arial" w:hAnsi="Arial" w:cs="Arial"/>
                <w:noProof/>
                <w:webHidden/>
              </w:rPr>
              <w:fldChar w:fldCharType="begin"/>
            </w:r>
            <w:r w:rsidR="005F6028" w:rsidRPr="00BE5AA7">
              <w:rPr>
                <w:rFonts w:ascii="Arial" w:hAnsi="Arial" w:cs="Arial"/>
                <w:noProof/>
                <w:webHidden/>
              </w:rPr>
              <w:instrText xml:space="preserve"> PAGEREF _Toc98325334 \h </w:instrText>
            </w:r>
            <w:r w:rsidR="005F6028" w:rsidRPr="00BE5AA7">
              <w:rPr>
                <w:rFonts w:ascii="Arial" w:hAnsi="Arial" w:cs="Arial"/>
                <w:noProof/>
                <w:webHidden/>
              </w:rPr>
            </w:r>
            <w:r w:rsidR="005F6028" w:rsidRPr="00BE5AA7">
              <w:rPr>
                <w:rFonts w:ascii="Arial" w:hAnsi="Arial" w:cs="Arial"/>
                <w:noProof/>
                <w:webHidden/>
              </w:rPr>
              <w:fldChar w:fldCharType="separate"/>
            </w:r>
            <w:r w:rsidR="005F6028" w:rsidRPr="00BE5AA7">
              <w:rPr>
                <w:rFonts w:ascii="Arial" w:hAnsi="Arial" w:cs="Arial"/>
                <w:noProof/>
                <w:webHidden/>
              </w:rPr>
              <w:t>6</w:t>
            </w:r>
            <w:r w:rsidR="005F6028" w:rsidRPr="00BE5AA7">
              <w:rPr>
                <w:rFonts w:ascii="Arial" w:hAnsi="Arial" w:cs="Arial"/>
                <w:noProof/>
                <w:webHidden/>
              </w:rPr>
              <w:fldChar w:fldCharType="end"/>
            </w:r>
          </w:hyperlink>
        </w:p>
        <w:p w14:paraId="3B803EB0" w14:textId="13D8767F" w:rsidR="005F6028" w:rsidRPr="00BE5AA7" w:rsidRDefault="00B45074" w:rsidP="005F6028">
          <w:pPr>
            <w:pStyle w:val="TOC3"/>
            <w:tabs>
              <w:tab w:val="right" w:leader="dot" w:pos="9350"/>
            </w:tabs>
            <w:spacing w:line="240" w:lineRule="auto"/>
            <w:rPr>
              <w:rFonts w:ascii="Arial" w:hAnsi="Arial" w:cs="Arial"/>
              <w:noProof/>
            </w:rPr>
          </w:pPr>
          <w:hyperlink w:anchor="_Toc98325335" w:history="1">
            <w:r w:rsidR="005F6028" w:rsidRPr="00BE5AA7">
              <w:rPr>
                <w:rStyle w:val="Hyperlink"/>
                <w:rFonts w:ascii="Arial" w:hAnsi="Arial" w:cs="Arial"/>
                <w:noProof/>
              </w:rPr>
              <w:t>UBC Advisory Resources</w:t>
            </w:r>
            <w:r w:rsidR="005F6028" w:rsidRPr="00BE5AA7">
              <w:rPr>
                <w:rFonts w:ascii="Arial" w:hAnsi="Arial" w:cs="Arial"/>
                <w:noProof/>
                <w:webHidden/>
              </w:rPr>
              <w:tab/>
            </w:r>
            <w:r w:rsidR="005F6028" w:rsidRPr="00BE5AA7">
              <w:rPr>
                <w:rFonts w:ascii="Arial" w:hAnsi="Arial" w:cs="Arial"/>
                <w:noProof/>
                <w:webHidden/>
              </w:rPr>
              <w:fldChar w:fldCharType="begin"/>
            </w:r>
            <w:r w:rsidR="005F6028" w:rsidRPr="00BE5AA7">
              <w:rPr>
                <w:rFonts w:ascii="Arial" w:hAnsi="Arial" w:cs="Arial"/>
                <w:noProof/>
                <w:webHidden/>
              </w:rPr>
              <w:instrText xml:space="preserve"> PAGEREF _Toc98325335 \h </w:instrText>
            </w:r>
            <w:r w:rsidR="005F6028" w:rsidRPr="00BE5AA7">
              <w:rPr>
                <w:rFonts w:ascii="Arial" w:hAnsi="Arial" w:cs="Arial"/>
                <w:noProof/>
                <w:webHidden/>
              </w:rPr>
            </w:r>
            <w:r w:rsidR="005F6028" w:rsidRPr="00BE5AA7">
              <w:rPr>
                <w:rFonts w:ascii="Arial" w:hAnsi="Arial" w:cs="Arial"/>
                <w:noProof/>
                <w:webHidden/>
              </w:rPr>
              <w:fldChar w:fldCharType="separate"/>
            </w:r>
            <w:r w:rsidR="005F6028" w:rsidRPr="00BE5AA7">
              <w:rPr>
                <w:rFonts w:ascii="Arial" w:hAnsi="Arial" w:cs="Arial"/>
                <w:noProof/>
                <w:webHidden/>
              </w:rPr>
              <w:t>6</w:t>
            </w:r>
            <w:r w:rsidR="005F6028" w:rsidRPr="00BE5AA7">
              <w:rPr>
                <w:rFonts w:ascii="Arial" w:hAnsi="Arial" w:cs="Arial"/>
                <w:noProof/>
                <w:webHidden/>
              </w:rPr>
              <w:fldChar w:fldCharType="end"/>
            </w:r>
          </w:hyperlink>
        </w:p>
        <w:p w14:paraId="41F1ABB2" w14:textId="56435A2A" w:rsidR="005F6028" w:rsidRPr="00BE5AA7" w:rsidRDefault="00B45074" w:rsidP="005F6028">
          <w:pPr>
            <w:pStyle w:val="TOC2"/>
            <w:tabs>
              <w:tab w:val="right" w:leader="dot" w:pos="9350"/>
            </w:tabs>
            <w:spacing w:line="240" w:lineRule="auto"/>
            <w:rPr>
              <w:rFonts w:ascii="Arial" w:hAnsi="Arial" w:cs="Arial"/>
              <w:i w:val="0"/>
              <w:iCs w:val="0"/>
              <w:noProof/>
            </w:rPr>
          </w:pPr>
          <w:hyperlink w:anchor="_Toc98325336" w:history="1">
            <w:r w:rsidR="005F6028" w:rsidRPr="00BE5AA7">
              <w:rPr>
                <w:rStyle w:val="Hyperlink"/>
                <w:rFonts w:ascii="Arial" w:hAnsi="Arial" w:cs="Arial"/>
                <w:i w:val="0"/>
                <w:iCs w:val="0"/>
                <w:noProof/>
              </w:rPr>
              <w:t>Financial Literacy Education Best-Practices</w:t>
            </w:r>
            <w:r w:rsidR="005F6028" w:rsidRPr="00BE5AA7">
              <w:rPr>
                <w:rFonts w:ascii="Arial" w:hAnsi="Arial" w:cs="Arial"/>
                <w:i w:val="0"/>
                <w:iCs w:val="0"/>
                <w:noProof/>
                <w:webHidden/>
              </w:rPr>
              <w:tab/>
            </w:r>
            <w:r w:rsidR="005F6028" w:rsidRPr="00BE5AA7">
              <w:rPr>
                <w:rFonts w:ascii="Arial" w:hAnsi="Arial" w:cs="Arial"/>
                <w:i w:val="0"/>
                <w:iCs w:val="0"/>
                <w:noProof/>
                <w:webHidden/>
              </w:rPr>
              <w:fldChar w:fldCharType="begin"/>
            </w:r>
            <w:r w:rsidR="005F6028" w:rsidRPr="00BE5AA7">
              <w:rPr>
                <w:rFonts w:ascii="Arial" w:hAnsi="Arial" w:cs="Arial"/>
                <w:i w:val="0"/>
                <w:iCs w:val="0"/>
                <w:noProof/>
                <w:webHidden/>
              </w:rPr>
              <w:instrText xml:space="preserve"> PAGEREF _Toc98325336 \h </w:instrText>
            </w:r>
            <w:r w:rsidR="005F6028" w:rsidRPr="00BE5AA7">
              <w:rPr>
                <w:rFonts w:ascii="Arial" w:hAnsi="Arial" w:cs="Arial"/>
                <w:i w:val="0"/>
                <w:iCs w:val="0"/>
                <w:noProof/>
                <w:webHidden/>
              </w:rPr>
            </w:r>
            <w:r w:rsidR="005F6028" w:rsidRPr="00BE5AA7">
              <w:rPr>
                <w:rFonts w:ascii="Arial" w:hAnsi="Arial" w:cs="Arial"/>
                <w:i w:val="0"/>
                <w:iCs w:val="0"/>
                <w:noProof/>
                <w:webHidden/>
              </w:rPr>
              <w:fldChar w:fldCharType="separate"/>
            </w:r>
            <w:r w:rsidR="005F6028" w:rsidRPr="00BE5AA7">
              <w:rPr>
                <w:rFonts w:ascii="Arial" w:hAnsi="Arial" w:cs="Arial"/>
                <w:i w:val="0"/>
                <w:iCs w:val="0"/>
                <w:noProof/>
                <w:webHidden/>
              </w:rPr>
              <w:t>6</w:t>
            </w:r>
            <w:r w:rsidR="005F6028" w:rsidRPr="00BE5AA7">
              <w:rPr>
                <w:rFonts w:ascii="Arial" w:hAnsi="Arial" w:cs="Arial"/>
                <w:i w:val="0"/>
                <w:iCs w:val="0"/>
                <w:noProof/>
                <w:webHidden/>
              </w:rPr>
              <w:fldChar w:fldCharType="end"/>
            </w:r>
          </w:hyperlink>
        </w:p>
        <w:p w14:paraId="6F54A99F" w14:textId="6B9F67F9" w:rsidR="005F6028" w:rsidRPr="00BE5AA7" w:rsidRDefault="00B45074" w:rsidP="005F6028">
          <w:pPr>
            <w:pStyle w:val="TOC3"/>
            <w:tabs>
              <w:tab w:val="right" w:leader="dot" w:pos="9350"/>
            </w:tabs>
            <w:spacing w:line="240" w:lineRule="auto"/>
            <w:rPr>
              <w:rFonts w:ascii="Arial" w:hAnsi="Arial" w:cs="Arial"/>
              <w:noProof/>
            </w:rPr>
          </w:pPr>
          <w:hyperlink w:anchor="_Toc98325337" w:history="1">
            <w:r w:rsidR="005F6028" w:rsidRPr="00BE5AA7">
              <w:rPr>
                <w:rStyle w:val="Hyperlink"/>
                <w:rFonts w:ascii="Arial" w:hAnsi="Arial" w:cs="Arial"/>
                <w:noProof/>
              </w:rPr>
              <w:t>Review of Literature</w:t>
            </w:r>
            <w:r w:rsidR="005F6028" w:rsidRPr="00BE5AA7">
              <w:rPr>
                <w:rFonts w:ascii="Arial" w:hAnsi="Arial" w:cs="Arial"/>
                <w:noProof/>
                <w:webHidden/>
              </w:rPr>
              <w:tab/>
            </w:r>
            <w:r w:rsidR="005F6028" w:rsidRPr="00BE5AA7">
              <w:rPr>
                <w:rFonts w:ascii="Arial" w:hAnsi="Arial" w:cs="Arial"/>
                <w:noProof/>
                <w:webHidden/>
              </w:rPr>
              <w:fldChar w:fldCharType="begin"/>
            </w:r>
            <w:r w:rsidR="005F6028" w:rsidRPr="00BE5AA7">
              <w:rPr>
                <w:rFonts w:ascii="Arial" w:hAnsi="Arial" w:cs="Arial"/>
                <w:noProof/>
                <w:webHidden/>
              </w:rPr>
              <w:instrText xml:space="preserve"> PAGEREF _Toc98325337 \h </w:instrText>
            </w:r>
            <w:r w:rsidR="005F6028" w:rsidRPr="00BE5AA7">
              <w:rPr>
                <w:rFonts w:ascii="Arial" w:hAnsi="Arial" w:cs="Arial"/>
                <w:noProof/>
                <w:webHidden/>
              </w:rPr>
            </w:r>
            <w:r w:rsidR="005F6028" w:rsidRPr="00BE5AA7">
              <w:rPr>
                <w:rFonts w:ascii="Arial" w:hAnsi="Arial" w:cs="Arial"/>
                <w:noProof/>
                <w:webHidden/>
              </w:rPr>
              <w:fldChar w:fldCharType="separate"/>
            </w:r>
            <w:r w:rsidR="005F6028" w:rsidRPr="00BE5AA7">
              <w:rPr>
                <w:rFonts w:ascii="Arial" w:hAnsi="Arial" w:cs="Arial"/>
                <w:noProof/>
                <w:webHidden/>
              </w:rPr>
              <w:t>6</w:t>
            </w:r>
            <w:r w:rsidR="005F6028" w:rsidRPr="00BE5AA7">
              <w:rPr>
                <w:rFonts w:ascii="Arial" w:hAnsi="Arial" w:cs="Arial"/>
                <w:noProof/>
                <w:webHidden/>
              </w:rPr>
              <w:fldChar w:fldCharType="end"/>
            </w:r>
          </w:hyperlink>
        </w:p>
        <w:p w14:paraId="1DFC306D" w14:textId="6E81BB51" w:rsidR="005F6028" w:rsidRPr="00BE5AA7" w:rsidRDefault="00B45074" w:rsidP="005F6028">
          <w:pPr>
            <w:pStyle w:val="TOC3"/>
            <w:tabs>
              <w:tab w:val="right" w:leader="dot" w:pos="9350"/>
            </w:tabs>
            <w:spacing w:line="240" w:lineRule="auto"/>
            <w:rPr>
              <w:rFonts w:ascii="Arial" w:hAnsi="Arial" w:cs="Arial"/>
              <w:noProof/>
            </w:rPr>
          </w:pPr>
          <w:hyperlink w:anchor="_Toc98325338" w:history="1">
            <w:r w:rsidR="005F6028" w:rsidRPr="00BE5AA7">
              <w:rPr>
                <w:rStyle w:val="Hyperlink"/>
                <w:rFonts w:ascii="Arial" w:hAnsi="Arial" w:cs="Arial"/>
                <w:noProof/>
              </w:rPr>
              <w:t>Comparison to Existing Resources</w:t>
            </w:r>
            <w:r w:rsidR="005F6028" w:rsidRPr="00BE5AA7">
              <w:rPr>
                <w:rFonts w:ascii="Arial" w:hAnsi="Arial" w:cs="Arial"/>
                <w:noProof/>
                <w:webHidden/>
              </w:rPr>
              <w:tab/>
            </w:r>
            <w:r w:rsidR="005F6028" w:rsidRPr="00BE5AA7">
              <w:rPr>
                <w:rFonts w:ascii="Arial" w:hAnsi="Arial" w:cs="Arial"/>
                <w:noProof/>
                <w:webHidden/>
              </w:rPr>
              <w:fldChar w:fldCharType="begin"/>
            </w:r>
            <w:r w:rsidR="005F6028" w:rsidRPr="00BE5AA7">
              <w:rPr>
                <w:rFonts w:ascii="Arial" w:hAnsi="Arial" w:cs="Arial"/>
                <w:noProof/>
                <w:webHidden/>
              </w:rPr>
              <w:instrText xml:space="preserve"> PAGEREF _Toc98325338 \h </w:instrText>
            </w:r>
            <w:r w:rsidR="005F6028" w:rsidRPr="00BE5AA7">
              <w:rPr>
                <w:rFonts w:ascii="Arial" w:hAnsi="Arial" w:cs="Arial"/>
                <w:noProof/>
                <w:webHidden/>
              </w:rPr>
            </w:r>
            <w:r w:rsidR="005F6028" w:rsidRPr="00BE5AA7">
              <w:rPr>
                <w:rFonts w:ascii="Arial" w:hAnsi="Arial" w:cs="Arial"/>
                <w:noProof/>
                <w:webHidden/>
              </w:rPr>
              <w:fldChar w:fldCharType="separate"/>
            </w:r>
            <w:r w:rsidR="005F6028" w:rsidRPr="00BE5AA7">
              <w:rPr>
                <w:rFonts w:ascii="Arial" w:hAnsi="Arial" w:cs="Arial"/>
                <w:noProof/>
                <w:webHidden/>
              </w:rPr>
              <w:t>6</w:t>
            </w:r>
            <w:r w:rsidR="005F6028" w:rsidRPr="00BE5AA7">
              <w:rPr>
                <w:rFonts w:ascii="Arial" w:hAnsi="Arial" w:cs="Arial"/>
                <w:noProof/>
                <w:webHidden/>
              </w:rPr>
              <w:fldChar w:fldCharType="end"/>
            </w:r>
          </w:hyperlink>
        </w:p>
        <w:p w14:paraId="6EDA7C38" w14:textId="07CC3505" w:rsidR="005F6028" w:rsidRPr="00BE5AA7" w:rsidRDefault="00B45074" w:rsidP="005F6028">
          <w:pPr>
            <w:pStyle w:val="TOC2"/>
            <w:tabs>
              <w:tab w:val="right" w:leader="dot" w:pos="9350"/>
            </w:tabs>
            <w:spacing w:line="240" w:lineRule="auto"/>
            <w:rPr>
              <w:rFonts w:ascii="Arial" w:hAnsi="Arial" w:cs="Arial"/>
              <w:i w:val="0"/>
              <w:iCs w:val="0"/>
              <w:noProof/>
            </w:rPr>
          </w:pPr>
          <w:hyperlink w:anchor="_Toc98325339" w:history="1">
            <w:r w:rsidR="005F6028" w:rsidRPr="00BE5AA7">
              <w:rPr>
                <w:rStyle w:val="Hyperlink"/>
                <w:rFonts w:ascii="Arial" w:hAnsi="Arial" w:cs="Arial"/>
                <w:i w:val="0"/>
                <w:iCs w:val="0"/>
                <w:noProof/>
              </w:rPr>
              <w:t>Survey Results</w:t>
            </w:r>
            <w:r w:rsidR="005F6028" w:rsidRPr="00BE5AA7">
              <w:rPr>
                <w:rFonts w:ascii="Arial" w:hAnsi="Arial" w:cs="Arial"/>
                <w:i w:val="0"/>
                <w:iCs w:val="0"/>
                <w:noProof/>
                <w:webHidden/>
              </w:rPr>
              <w:tab/>
            </w:r>
            <w:r w:rsidR="005F6028" w:rsidRPr="00BE5AA7">
              <w:rPr>
                <w:rFonts w:ascii="Arial" w:hAnsi="Arial" w:cs="Arial"/>
                <w:i w:val="0"/>
                <w:iCs w:val="0"/>
                <w:noProof/>
                <w:webHidden/>
              </w:rPr>
              <w:fldChar w:fldCharType="begin"/>
            </w:r>
            <w:r w:rsidR="005F6028" w:rsidRPr="00BE5AA7">
              <w:rPr>
                <w:rFonts w:ascii="Arial" w:hAnsi="Arial" w:cs="Arial"/>
                <w:i w:val="0"/>
                <w:iCs w:val="0"/>
                <w:noProof/>
                <w:webHidden/>
              </w:rPr>
              <w:instrText xml:space="preserve"> PAGEREF _Toc98325339 \h </w:instrText>
            </w:r>
            <w:r w:rsidR="005F6028" w:rsidRPr="00BE5AA7">
              <w:rPr>
                <w:rFonts w:ascii="Arial" w:hAnsi="Arial" w:cs="Arial"/>
                <w:i w:val="0"/>
                <w:iCs w:val="0"/>
                <w:noProof/>
                <w:webHidden/>
              </w:rPr>
            </w:r>
            <w:r w:rsidR="005F6028" w:rsidRPr="00BE5AA7">
              <w:rPr>
                <w:rFonts w:ascii="Arial" w:hAnsi="Arial" w:cs="Arial"/>
                <w:i w:val="0"/>
                <w:iCs w:val="0"/>
                <w:noProof/>
                <w:webHidden/>
              </w:rPr>
              <w:fldChar w:fldCharType="separate"/>
            </w:r>
            <w:r w:rsidR="005F6028" w:rsidRPr="00BE5AA7">
              <w:rPr>
                <w:rFonts w:ascii="Arial" w:hAnsi="Arial" w:cs="Arial"/>
                <w:i w:val="0"/>
                <w:iCs w:val="0"/>
                <w:noProof/>
                <w:webHidden/>
              </w:rPr>
              <w:t>6</w:t>
            </w:r>
            <w:r w:rsidR="005F6028" w:rsidRPr="00BE5AA7">
              <w:rPr>
                <w:rFonts w:ascii="Arial" w:hAnsi="Arial" w:cs="Arial"/>
                <w:i w:val="0"/>
                <w:iCs w:val="0"/>
                <w:noProof/>
                <w:webHidden/>
              </w:rPr>
              <w:fldChar w:fldCharType="end"/>
            </w:r>
          </w:hyperlink>
        </w:p>
        <w:p w14:paraId="4EDC5A24" w14:textId="730E1B19" w:rsidR="005F6028" w:rsidRPr="00BE5AA7" w:rsidRDefault="00B45074" w:rsidP="005F6028">
          <w:pPr>
            <w:pStyle w:val="TOC3"/>
            <w:tabs>
              <w:tab w:val="right" w:leader="dot" w:pos="9350"/>
            </w:tabs>
            <w:spacing w:line="240" w:lineRule="auto"/>
            <w:rPr>
              <w:rFonts w:ascii="Arial" w:hAnsi="Arial" w:cs="Arial"/>
              <w:noProof/>
            </w:rPr>
          </w:pPr>
          <w:hyperlink w:anchor="_Toc98325340" w:history="1">
            <w:r w:rsidR="005F6028" w:rsidRPr="00BE5AA7">
              <w:rPr>
                <w:rStyle w:val="Hyperlink"/>
                <w:rFonts w:ascii="Arial" w:hAnsi="Arial" w:cs="Arial"/>
                <w:noProof/>
              </w:rPr>
              <w:t>Self-Assessed Level of Financial Literacy</w:t>
            </w:r>
            <w:r w:rsidR="005F6028" w:rsidRPr="00BE5AA7">
              <w:rPr>
                <w:rFonts w:ascii="Arial" w:hAnsi="Arial" w:cs="Arial"/>
                <w:noProof/>
                <w:webHidden/>
              </w:rPr>
              <w:tab/>
            </w:r>
            <w:r w:rsidR="005F6028" w:rsidRPr="00BE5AA7">
              <w:rPr>
                <w:rFonts w:ascii="Arial" w:hAnsi="Arial" w:cs="Arial"/>
                <w:noProof/>
                <w:webHidden/>
              </w:rPr>
              <w:fldChar w:fldCharType="begin"/>
            </w:r>
            <w:r w:rsidR="005F6028" w:rsidRPr="00BE5AA7">
              <w:rPr>
                <w:rFonts w:ascii="Arial" w:hAnsi="Arial" w:cs="Arial"/>
                <w:noProof/>
                <w:webHidden/>
              </w:rPr>
              <w:instrText xml:space="preserve"> PAGEREF _Toc98325340 \h </w:instrText>
            </w:r>
            <w:r w:rsidR="005F6028" w:rsidRPr="00BE5AA7">
              <w:rPr>
                <w:rFonts w:ascii="Arial" w:hAnsi="Arial" w:cs="Arial"/>
                <w:noProof/>
                <w:webHidden/>
              </w:rPr>
            </w:r>
            <w:r w:rsidR="005F6028" w:rsidRPr="00BE5AA7">
              <w:rPr>
                <w:rFonts w:ascii="Arial" w:hAnsi="Arial" w:cs="Arial"/>
                <w:noProof/>
                <w:webHidden/>
              </w:rPr>
              <w:fldChar w:fldCharType="separate"/>
            </w:r>
            <w:r w:rsidR="005F6028" w:rsidRPr="00BE5AA7">
              <w:rPr>
                <w:rFonts w:ascii="Arial" w:hAnsi="Arial" w:cs="Arial"/>
                <w:noProof/>
                <w:webHidden/>
              </w:rPr>
              <w:t>6</w:t>
            </w:r>
            <w:r w:rsidR="005F6028" w:rsidRPr="00BE5AA7">
              <w:rPr>
                <w:rFonts w:ascii="Arial" w:hAnsi="Arial" w:cs="Arial"/>
                <w:noProof/>
                <w:webHidden/>
              </w:rPr>
              <w:fldChar w:fldCharType="end"/>
            </w:r>
          </w:hyperlink>
        </w:p>
        <w:p w14:paraId="767B0332" w14:textId="55B51303" w:rsidR="005F6028" w:rsidRPr="00BE5AA7" w:rsidRDefault="00B45074" w:rsidP="005F6028">
          <w:pPr>
            <w:pStyle w:val="TOC3"/>
            <w:tabs>
              <w:tab w:val="right" w:leader="dot" w:pos="9350"/>
            </w:tabs>
            <w:spacing w:line="240" w:lineRule="auto"/>
            <w:rPr>
              <w:rFonts w:ascii="Arial" w:hAnsi="Arial" w:cs="Arial"/>
              <w:noProof/>
            </w:rPr>
          </w:pPr>
          <w:hyperlink w:anchor="_Toc98325341" w:history="1">
            <w:r w:rsidR="005F6028" w:rsidRPr="00BE5AA7">
              <w:rPr>
                <w:rStyle w:val="Hyperlink"/>
                <w:rFonts w:ascii="Arial" w:hAnsi="Arial" w:cs="Arial"/>
                <w:noProof/>
              </w:rPr>
              <w:t>Experience with Financial Literacy Resources</w:t>
            </w:r>
            <w:r w:rsidR="005F6028" w:rsidRPr="00BE5AA7">
              <w:rPr>
                <w:rFonts w:ascii="Arial" w:hAnsi="Arial" w:cs="Arial"/>
                <w:noProof/>
                <w:webHidden/>
              </w:rPr>
              <w:tab/>
            </w:r>
            <w:r w:rsidR="005F6028" w:rsidRPr="00BE5AA7">
              <w:rPr>
                <w:rFonts w:ascii="Arial" w:hAnsi="Arial" w:cs="Arial"/>
                <w:noProof/>
                <w:webHidden/>
              </w:rPr>
              <w:fldChar w:fldCharType="begin"/>
            </w:r>
            <w:r w:rsidR="005F6028" w:rsidRPr="00BE5AA7">
              <w:rPr>
                <w:rFonts w:ascii="Arial" w:hAnsi="Arial" w:cs="Arial"/>
                <w:noProof/>
                <w:webHidden/>
              </w:rPr>
              <w:instrText xml:space="preserve"> PAGEREF _Toc98325341 \h </w:instrText>
            </w:r>
            <w:r w:rsidR="005F6028" w:rsidRPr="00BE5AA7">
              <w:rPr>
                <w:rFonts w:ascii="Arial" w:hAnsi="Arial" w:cs="Arial"/>
                <w:noProof/>
                <w:webHidden/>
              </w:rPr>
            </w:r>
            <w:r w:rsidR="005F6028" w:rsidRPr="00BE5AA7">
              <w:rPr>
                <w:rFonts w:ascii="Arial" w:hAnsi="Arial" w:cs="Arial"/>
                <w:noProof/>
                <w:webHidden/>
              </w:rPr>
              <w:fldChar w:fldCharType="separate"/>
            </w:r>
            <w:r w:rsidR="005F6028" w:rsidRPr="00BE5AA7">
              <w:rPr>
                <w:rFonts w:ascii="Arial" w:hAnsi="Arial" w:cs="Arial"/>
                <w:noProof/>
                <w:webHidden/>
              </w:rPr>
              <w:t>6</w:t>
            </w:r>
            <w:r w:rsidR="005F6028" w:rsidRPr="00BE5AA7">
              <w:rPr>
                <w:rFonts w:ascii="Arial" w:hAnsi="Arial" w:cs="Arial"/>
                <w:noProof/>
                <w:webHidden/>
              </w:rPr>
              <w:fldChar w:fldCharType="end"/>
            </w:r>
          </w:hyperlink>
        </w:p>
        <w:p w14:paraId="6836997C" w14:textId="354DA7AD" w:rsidR="005F6028" w:rsidRPr="00BE5AA7" w:rsidRDefault="00B45074" w:rsidP="005F6028">
          <w:pPr>
            <w:pStyle w:val="TOC1"/>
            <w:spacing w:line="240" w:lineRule="auto"/>
            <w:rPr>
              <w:rFonts w:ascii="Arial" w:hAnsi="Arial" w:cs="Arial"/>
              <w:b w:val="0"/>
              <w:bCs w:val="0"/>
              <w:noProof/>
            </w:rPr>
          </w:pPr>
          <w:hyperlink w:anchor="_Toc98325342" w:history="1">
            <w:r w:rsidR="005F6028" w:rsidRPr="00BE5AA7">
              <w:rPr>
                <w:rStyle w:val="Hyperlink"/>
                <w:rFonts w:ascii="Arial" w:hAnsi="Arial" w:cs="Arial"/>
                <w:b w:val="0"/>
                <w:bCs w:val="0"/>
                <w:noProof/>
              </w:rPr>
              <w:t>Conclusion</w:t>
            </w:r>
            <w:r w:rsidR="005F6028" w:rsidRPr="00BE5AA7">
              <w:rPr>
                <w:rFonts w:ascii="Arial" w:hAnsi="Arial" w:cs="Arial"/>
                <w:b w:val="0"/>
                <w:bCs w:val="0"/>
                <w:noProof/>
                <w:webHidden/>
              </w:rPr>
              <w:tab/>
            </w:r>
            <w:r w:rsidR="005F6028" w:rsidRPr="00BE5AA7">
              <w:rPr>
                <w:rFonts w:ascii="Arial" w:hAnsi="Arial" w:cs="Arial"/>
                <w:b w:val="0"/>
                <w:bCs w:val="0"/>
                <w:noProof/>
                <w:webHidden/>
              </w:rPr>
              <w:fldChar w:fldCharType="begin"/>
            </w:r>
            <w:r w:rsidR="005F6028" w:rsidRPr="00BE5AA7">
              <w:rPr>
                <w:rFonts w:ascii="Arial" w:hAnsi="Arial" w:cs="Arial"/>
                <w:b w:val="0"/>
                <w:bCs w:val="0"/>
                <w:noProof/>
                <w:webHidden/>
              </w:rPr>
              <w:instrText xml:space="preserve"> PAGEREF _Toc98325342 \h </w:instrText>
            </w:r>
            <w:r w:rsidR="005F6028" w:rsidRPr="00BE5AA7">
              <w:rPr>
                <w:rFonts w:ascii="Arial" w:hAnsi="Arial" w:cs="Arial"/>
                <w:b w:val="0"/>
                <w:bCs w:val="0"/>
                <w:noProof/>
                <w:webHidden/>
              </w:rPr>
            </w:r>
            <w:r w:rsidR="005F6028" w:rsidRPr="00BE5AA7">
              <w:rPr>
                <w:rFonts w:ascii="Arial" w:hAnsi="Arial" w:cs="Arial"/>
                <w:b w:val="0"/>
                <w:bCs w:val="0"/>
                <w:noProof/>
                <w:webHidden/>
              </w:rPr>
              <w:fldChar w:fldCharType="separate"/>
            </w:r>
            <w:r w:rsidR="005F6028" w:rsidRPr="00BE5AA7">
              <w:rPr>
                <w:rFonts w:ascii="Arial" w:hAnsi="Arial" w:cs="Arial"/>
                <w:b w:val="0"/>
                <w:bCs w:val="0"/>
                <w:noProof/>
                <w:webHidden/>
              </w:rPr>
              <w:t>7</w:t>
            </w:r>
            <w:r w:rsidR="005F6028" w:rsidRPr="00BE5AA7">
              <w:rPr>
                <w:rFonts w:ascii="Arial" w:hAnsi="Arial" w:cs="Arial"/>
                <w:b w:val="0"/>
                <w:bCs w:val="0"/>
                <w:noProof/>
                <w:webHidden/>
              </w:rPr>
              <w:fldChar w:fldCharType="end"/>
            </w:r>
          </w:hyperlink>
        </w:p>
        <w:p w14:paraId="11AB21DC" w14:textId="24E2ADD2" w:rsidR="005F6028" w:rsidRPr="00BE5AA7" w:rsidRDefault="00B45074" w:rsidP="005F6028">
          <w:pPr>
            <w:pStyle w:val="TOC2"/>
            <w:tabs>
              <w:tab w:val="right" w:leader="dot" w:pos="9350"/>
            </w:tabs>
            <w:spacing w:line="240" w:lineRule="auto"/>
            <w:rPr>
              <w:rFonts w:ascii="Arial" w:hAnsi="Arial" w:cs="Arial"/>
              <w:i w:val="0"/>
              <w:iCs w:val="0"/>
              <w:noProof/>
            </w:rPr>
          </w:pPr>
          <w:hyperlink w:anchor="_Toc98325343" w:history="1">
            <w:r w:rsidR="005F6028" w:rsidRPr="00BE5AA7">
              <w:rPr>
                <w:rStyle w:val="Hyperlink"/>
                <w:rFonts w:ascii="Arial" w:hAnsi="Arial" w:cs="Arial"/>
                <w:i w:val="0"/>
                <w:iCs w:val="0"/>
                <w:noProof/>
              </w:rPr>
              <w:t>Summary of Findings</w:t>
            </w:r>
            <w:r w:rsidR="005F6028" w:rsidRPr="00BE5AA7">
              <w:rPr>
                <w:rFonts w:ascii="Arial" w:hAnsi="Arial" w:cs="Arial"/>
                <w:i w:val="0"/>
                <w:iCs w:val="0"/>
                <w:noProof/>
                <w:webHidden/>
              </w:rPr>
              <w:tab/>
            </w:r>
            <w:r w:rsidR="005F6028" w:rsidRPr="00BE5AA7">
              <w:rPr>
                <w:rFonts w:ascii="Arial" w:hAnsi="Arial" w:cs="Arial"/>
                <w:i w:val="0"/>
                <w:iCs w:val="0"/>
                <w:noProof/>
                <w:webHidden/>
              </w:rPr>
              <w:fldChar w:fldCharType="begin"/>
            </w:r>
            <w:r w:rsidR="005F6028" w:rsidRPr="00BE5AA7">
              <w:rPr>
                <w:rFonts w:ascii="Arial" w:hAnsi="Arial" w:cs="Arial"/>
                <w:i w:val="0"/>
                <w:iCs w:val="0"/>
                <w:noProof/>
                <w:webHidden/>
              </w:rPr>
              <w:instrText xml:space="preserve"> PAGEREF _Toc98325343 \h </w:instrText>
            </w:r>
            <w:r w:rsidR="005F6028" w:rsidRPr="00BE5AA7">
              <w:rPr>
                <w:rFonts w:ascii="Arial" w:hAnsi="Arial" w:cs="Arial"/>
                <w:i w:val="0"/>
                <w:iCs w:val="0"/>
                <w:noProof/>
                <w:webHidden/>
              </w:rPr>
            </w:r>
            <w:r w:rsidR="005F6028" w:rsidRPr="00BE5AA7">
              <w:rPr>
                <w:rFonts w:ascii="Arial" w:hAnsi="Arial" w:cs="Arial"/>
                <w:i w:val="0"/>
                <w:iCs w:val="0"/>
                <w:noProof/>
                <w:webHidden/>
              </w:rPr>
              <w:fldChar w:fldCharType="separate"/>
            </w:r>
            <w:r w:rsidR="005F6028" w:rsidRPr="00BE5AA7">
              <w:rPr>
                <w:rFonts w:ascii="Arial" w:hAnsi="Arial" w:cs="Arial"/>
                <w:i w:val="0"/>
                <w:iCs w:val="0"/>
                <w:noProof/>
                <w:webHidden/>
              </w:rPr>
              <w:t>7</w:t>
            </w:r>
            <w:r w:rsidR="005F6028" w:rsidRPr="00BE5AA7">
              <w:rPr>
                <w:rFonts w:ascii="Arial" w:hAnsi="Arial" w:cs="Arial"/>
                <w:i w:val="0"/>
                <w:iCs w:val="0"/>
                <w:noProof/>
                <w:webHidden/>
              </w:rPr>
              <w:fldChar w:fldCharType="end"/>
            </w:r>
          </w:hyperlink>
        </w:p>
        <w:p w14:paraId="6D3EB967" w14:textId="4BE6F024" w:rsidR="005F6028" w:rsidRPr="00BE5AA7" w:rsidRDefault="00B45074" w:rsidP="005F6028">
          <w:pPr>
            <w:pStyle w:val="TOC2"/>
            <w:tabs>
              <w:tab w:val="right" w:leader="dot" w:pos="9350"/>
            </w:tabs>
            <w:spacing w:line="240" w:lineRule="auto"/>
            <w:rPr>
              <w:rFonts w:ascii="Arial" w:hAnsi="Arial" w:cs="Arial"/>
              <w:i w:val="0"/>
              <w:iCs w:val="0"/>
              <w:noProof/>
            </w:rPr>
          </w:pPr>
          <w:hyperlink w:anchor="_Toc98325344" w:history="1">
            <w:r w:rsidR="005F6028" w:rsidRPr="00BE5AA7">
              <w:rPr>
                <w:rStyle w:val="Hyperlink"/>
                <w:rFonts w:ascii="Arial" w:hAnsi="Arial" w:cs="Arial"/>
                <w:i w:val="0"/>
                <w:iCs w:val="0"/>
                <w:noProof/>
              </w:rPr>
              <w:t>Recommendations</w:t>
            </w:r>
            <w:r w:rsidR="005F6028" w:rsidRPr="00BE5AA7">
              <w:rPr>
                <w:rFonts w:ascii="Arial" w:hAnsi="Arial" w:cs="Arial"/>
                <w:i w:val="0"/>
                <w:iCs w:val="0"/>
                <w:noProof/>
                <w:webHidden/>
              </w:rPr>
              <w:tab/>
            </w:r>
            <w:r w:rsidR="005F6028" w:rsidRPr="00BE5AA7">
              <w:rPr>
                <w:rFonts w:ascii="Arial" w:hAnsi="Arial" w:cs="Arial"/>
                <w:i w:val="0"/>
                <w:iCs w:val="0"/>
                <w:noProof/>
                <w:webHidden/>
              </w:rPr>
              <w:fldChar w:fldCharType="begin"/>
            </w:r>
            <w:r w:rsidR="005F6028" w:rsidRPr="00BE5AA7">
              <w:rPr>
                <w:rFonts w:ascii="Arial" w:hAnsi="Arial" w:cs="Arial"/>
                <w:i w:val="0"/>
                <w:iCs w:val="0"/>
                <w:noProof/>
                <w:webHidden/>
              </w:rPr>
              <w:instrText xml:space="preserve"> PAGEREF _Toc98325344 \h </w:instrText>
            </w:r>
            <w:r w:rsidR="005F6028" w:rsidRPr="00BE5AA7">
              <w:rPr>
                <w:rFonts w:ascii="Arial" w:hAnsi="Arial" w:cs="Arial"/>
                <w:i w:val="0"/>
                <w:iCs w:val="0"/>
                <w:noProof/>
                <w:webHidden/>
              </w:rPr>
            </w:r>
            <w:r w:rsidR="005F6028" w:rsidRPr="00BE5AA7">
              <w:rPr>
                <w:rFonts w:ascii="Arial" w:hAnsi="Arial" w:cs="Arial"/>
                <w:i w:val="0"/>
                <w:iCs w:val="0"/>
                <w:noProof/>
                <w:webHidden/>
              </w:rPr>
              <w:fldChar w:fldCharType="separate"/>
            </w:r>
            <w:r w:rsidR="005F6028" w:rsidRPr="00BE5AA7">
              <w:rPr>
                <w:rFonts w:ascii="Arial" w:hAnsi="Arial" w:cs="Arial"/>
                <w:i w:val="0"/>
                <w:iCs w:val="0"/>
                <w:noProof/>
                <w:webHidden/>
              </w:rPr>
              <w:t>7</w:t>
            </w:r>
            <w:r w:rsidR="005F6028" w:rsidRPr="00BE5AA7">
              <w:rPr>
                <w:rFonts w:ascii="Arial" w:hAnsi="Arial" w:cs="Arial"/>
                <w:i w:val="0"/>
                <w:iCs w:val="0"/>
                <w:noProof/>
                <w:webHidden/>
              </w:rPr>
              <w:fldChar w:fldCharType="end"/>
            </w:r>
          </w:hyperlink>
        </w:p>
        <w:p w14:paraId="5B2D91A0" w14:textId="3FA1E47A" w:rsidR="005F6028" w:rsidRDefault="005F6028" w:rsidP="005F6028">
          <w:pPr>
            <w:spacing w:line="240" w:lineRule="auto"/>
            <w:rPr>
              <w:b/>
              <w:bCs/>
              <w:noProof/>
            </w:rPr>
          </w:pPr>
          <w:r w:rsidRPr="00BE5AA7">
            <w:rPr>
              <w:rFonts w:cs="Arial"/>
              <w:noProof/>
            </w:rPr>
            <w:fldChar w:fldCharType="end"/>
          </w:r>
        </w:p>
      </w:sdtContent>
    </w:sdt>
    <w:p w14:paraId="40C6E154" w14:textId="77777777" w:rsidR="005F6028" w:rsidRDefault="005F6028">
      <w:pPr>
        <w:spacing w:before="0" w:after="0" w:line="240" w:lineRule="auto"/>
        <w:rPr>
          <w:b/>
          <w:bCs/>
          <w:noProof/>
        </w:rPr>
      </w:pPr>
      <w:r>
        <w:rPr>
          <w:b/>
          <w:bCs/>
          <w:noProof/>
        </w:rPr>
        <w:br w:type="page"/>
      </w:r>
    </w:p>
    <w:p w14:paraId="4F72B31F" w14:textId="0D0E5F94" w:rsidR="006235BC" w:rsidRDefault="006235BC" w:rsidP="00D037E6">
      <w:pPr>
        <w:pStyle w:val="Heading1"/>
      </w:pPr>
      <w:bookmarkStart w:id="0" w:name="_Toc98325320"/>
      <w:r w:rsidRPr="0089274E">
        <w:lastRenderedPageBreak/>
        <w:t xml:space="preserve">Letter of </w:t>
      </w:r>
      <w:bookmarkEnd w:id="0"/>
      <w:r w:rsidR="00BF7297">
        <w:t>Transmittal</w:t>
      </w:r>
    </w:p>
    <w:p w14:paraId="3C0E2E5B" w14:textId="570DBFC2" w:rsidR="00BF7297" w:rsidRDefault="00BF7297">
      <w:pPr>
        <w:spacing w:before="0" w:after="0"/>
      </w:pPr>
    </w:p>
    <w:p w14:paraId="45825B01" w14:textId="0E558070" w:rsidR="00FB68F8" w:rsidRDefault="00FB68F8" w:rsidP="00FB68F8">
      <w:pPr>
        <w:spacing w:before="0" w:after="0"/>
        <w:jc w:val="center"/>
      </w:pPr>
      <w:r>
        <w:t>Present in final report</w:t>
      </w:r>
    </w:p>
    <w:p w14:paraId="658CC72F" w14:textId="10CA4D8F" w:rsidR="0078533A" w:rsidRDefault="0078533A">
      <w:pPr>
        <w:spacing w:before="0" w:after="0"/>
      </w:pPr>
      <w:r>
        <w:br w:type="page"/>
      </w:r>
    </w:p>
    <w:p w14:paraId="7DF72FEB" w14:textId="141176DC" w:rsidR="006235BC" w:rsidRDefault="006235BC" w:rsidP="00D037E6">
      <w:pPr>
        <w:pStyle w:val="Heading1"/>
      </w:pPr>
      <w:bookmarkStart w:id="1" w:name="_Toc98325321"/>
      <w:r w:rsidRPr="0089274E">
        <w:lastRenderedPageBreak/>
        <w:t>Abstract</w:t>
      </w:r>
      <w:bookmarkEnd w:id="1"/>
    </w:p>
    <w:p w14:paraId="4CE849ED" w14:textId="3E764B44" w:rsidR="006B64C6" w:rsidRPr="006B64C6" w:rsidRDefault="006B64C6" w:rsidP="006B64C6">
      <w:pPr>
        <w:jc w:val="center"/>
      </w:pPr>
      <w:r>
        <w:t>Present in Final Report</w:t>
      </w:r>
    </w:p>
    <w:p w14:paraId="4E7EC2F1" w14:textId="16D93400" w:rsidR="0078533A" w:rsidRDefault="0078533A">
      <w:pPr>
        <w:spacing w:before="0" w:after="0"/>
      </w:pPr>
      <w:r>
        <w:br w:type="page"/>
      </w:r>
    </w:p>
    <w:p w14:paraId="5AE15C5E" w14:textId="57D4B191" w:rsidR="00D61C96" w:rsidRPr="00D037E6" w:rsidRDefault="00B30288" w:rsidP="00D037E6">
      <w:pPr>
        <w:pStyle w:val="Heading1"/>
      </w:pPr>
      <w:bookmarkStart w:id="2" w:name="_Toc98325322"/>
      <w:r w:rsidRPr="00D037E6">
        <w:lastRenderedPageBreak/>
        <w:t xml:space="preserve">Report - </w:t>
      </w:r>
      <w:r w:rsidR="00F10598" w:rsidRPr="00D037E6">
        <w:t>Introduction</w:t>
      </w:r>
      <w:bookmarkEnd w:id="2"/>
    </w:p>
    <w:p w14:paraId="6A4BE292" w14:textId="1B5910AF" w:rsidR="00A64956" w:rsidRDefault="00A64956" w:rsidP="00814DF0">
      <w:pPr>
        <w:pStyle w:val="Heading2"/>
      </w:pPr>
      <w:bookmarkStart w:id="3" w:name="_Toc98325323"/>
      <w:r>
        <w:t>Defining Financial Literacy</w:t>
      </w:r>
      <w:bookmarkEnd w:id="3"/>
    </w:p>
    <w:p w14:paraId="29A5DE47" w14:textId="5B4D1458" w:rsidR="00C623E1" w:rsidRDefault="00814DF0" w:rsidP="00814DF0">
      <w:r>
        <w:t xml:space="preserve">Financial literacy </w:t>
      </w:r>
      <w:r w:rsidR="00FF1FAC">
        <w:t>describes one’s ability to make informed personal finance decisions. The set of activities comprising “</w:t>
      </w:r>
      <w:r w:rsidR="00E92BE0">
        <w:t xml:space="preserve">personal finance” </w:t>
      </w:r>
      <w:r w:rsidR="002342A2">
        <w:t>has changed over time, with more traditional definitions including</w:t>
      </w:r>
      <w:r w:rsidR="00E92BE0">
        <w:t xml:space="preserve"> budgeting, setting financial goals, and managing loans or debt</w:t>
      </w:r>
      <w:r w:rsidR="00BB1FFF">
        <w:t xml:space="preserve">. Investing has become increasingly relevant to personal finance and financial literacy as a result, </w:t>
      </w:r>
      <w:r w:rsidR="00C623E1">
        <w:t xml:space="preserve">meaning financial literacy is best described as the ability to </w:t>
      </w:r>
      <w:r w:rsidR="00601898">
        <w:t xml:space="preserve">“understand and effectively use various financial skills, including personal financial management, budgeting, and investing.” (Fernando, 2022).  </w:t>
      </w:r>
    </w:p>
    <w:p w14:paraId="4D3883A5" w14:textId="7B360002" w:rsidR="00C623E1" w:rsidRDefault="00A64956" w:rsidP="00231A98">
      <w:pPr>
        <w:pStyle w:val="Heading2"/>
      </w:pPr>
      <w:bookmarkStart w:id="4" w:name="_Toc98325324"/>
      <w:r w:rsidRPr="00A64956">
        <w:t>Background on Financial Literacy Education</w:t>
      </w:r>
      <w:bookmarkEnd w:id="4"/>
    </w:p>
    <w:p w14:paraId="61AB49C8" w14:textId="2EA1D33A" w:rsidR="005F1677" w:rsidRDefault="00FE1313" w:rsidP="00231A98">
      <w:r>
        <w:t>Aspects of modern financial literacy, such as budgeting</w:t>
      </w:r>
      <w:r w:rsidR="00297C2C">
        <w:t xml:space="preserve"> and debt management</w:t>
      </w:r>
      <w:r w:rsidR="00152A4C">
        <w:t>, are as old as debt itself, which first appeared over 5,000 years ago (Graeber, 2013). For most Canadians, financial literacy wasn’t explicitly mentioned until the mid-1990s, when many governments acknowledged the “</w:t>
      </w:r>
      <w:r w:rsidR="00152A4C" w:rsidRPr="00152A4C">
        <w:t>broader economic implications of their citizens’ poor financial knowledge and decision-making on their national economies</w:t>
      </w:r>
      <w:r w:rsidR="00152A4C">
        <w:t>” (Canada, 2021).</w:t>
      </w:r>
      <w:r w:rsidR="00A01ABA">
        <w:t xml:space="preserve"> This newfound interest came as a response to</w:t>
      </w:r>
      <w:r w:rsidR="008D142E">
        <w:t xml:space="preserve"> a decade of record-high levels of personal debt, and “stagflation”</w:t>
      </w:r>
      <w:r w:rsidR="00DE70A0">
        <w:t xml:space="preserve"> of the 1980s</w:t>
      </w:r>
      <w:r w:rsidR="008D142E">
        <w:t xml:space="preserve"> (</w:t>
      </w:r>
      <w:r w:rsidR="0025074A">
        <w:t>Garcia, 2007</w:t>
      </w:r>
      <w:r w:rsidR="008D142E">
        <w:t xml:space="preserve">). </w:t>
      </w:r>
      <w:r w:rsidR="008D142E" w:rsidRPr="008D142E">
        <w:rPr>
          <w:i/>
          <w:iCs/>
        </w:rPr>
        <w:t>Visa</w:t>
      </w:r>
      <w:r w:rsidR="008D142E">
        <w:t>,</w:t>
      </w:r>
      <w:r w:rsidR="008D142E" w:rsidRPr="008D142E">
        <w:rPr>
          <w:i/>
          <w:iCs/>
        </w:rPr>
        <w:t xml:space="preserve"> Mastercard</w:t>
      </w:r>
      <w:r w:rsidR="008D142E">
        <w:t xml:space="preserve">, </w:t>
      </w:r>
      <w:r w:rsidR="008D142E" w:rsidRPr="008D142E">
        <w:rPr>
          <w:i/>
          <w:iCs/>
        </w:rPr>
        <w:t>American Express</w:t>
      </w:r>
      <w:r w:rsidR="008D142E">
        <w:t xml:space="preserve">, and </w:t>
      </w:r>
      <w:r w:rsidR="008D142E" w:rsidRPr="008D142E">
        <w:rPr>
          <w:i/>
          <w:iCs/>
        </w:rPr>
        <w:t>Discover</w:t>
      </w:r>
      <w:r w:rsidR="008D142E">
        <w:t xml:space="preserve">, </w:t>
      </w:r>
      <w:r w:rsidR="00DE70A0">
        <w:t xml:space="preserve">the </w:t>
      </w:r>
      <w:r w:rsidR="008D142E">
        <w:t>descendants of “The Diner’s Club Card”, had given consumers access to more credit</w:t>
      </w:r>
      <w:r w:rsidR="00DE70A0">
        <w:t xml:space="preserve"> than at any other point in history</w:t>
      </w:r>
      <w:r w:rsidR="005F1677">
        <w:t xml:space="preserve"> (</w:t>
      </w:r>
      <w:r w:rsidR="0025074A">
        <w:t>Garcia, 2007</w:t>
      </w:r>
      <w:r w:rsidR="005F1677">
        <w:t>)</w:t>
      </w:r>
      <w:r w:rsidR="00F55202">
        <w:t xml:space="preserve">. The importance of financial literacy has </w:t>
      </w:r>
      <w:r w:rsidR="005F1677">
        <w:t>been and</w:t>
      </w:r>
      <w:r w:rsidR="00F55202">
        <w:t xml:space="preserve"> will continue to be tied to the </w:t>
      </w:r>
      <w:r w:rsidR="005F1677">
        <w:t>types of products marketed at consumers</w:t>
      </w:r>
      <w:r w:rsidR="003214C8">
        <w:t>, their complexity</w:t>
      </w:r>
      <w:r w:rsidR="005F1677">
        <w:t>, and the risk profile that these products present. It is from this perspective, that financial literacy is</w:t>
      </w:r>
      <w:r w:rsidR="003214C8">
        <w:t xml:space="preserve"> exactly</w:t>
      </w:r>
      <w:r w:rsidR="005F1677">
        <w:t xml:space="preserve"> </w:t>
      </w:r>
      <w:r w:rsidR="003214C8">
        <w:t>as important as financial products are “risky, complicated, and well-marketed”</w:t>
      </w:r>
      <w:r w:rsidR="00517B78">
        <w:t>,</w:t>
      </w:r>
      <w:r w:rsidR="003214C8">
        <w:t xml:space="preserve"> that we will evaluate the need for financial literacy</w:t>
      </w:r>
      <w:r w:rsidR="00517B78">
        <w:t xml:space="preserve"> at any particular point</w:t>
      </w:r>
      <w:r w:rsidR="003214C8">
        <w:t xml:space="preserve">. </w:t>
      </w:r>
    </w:p>
    <w:p w14:paraId="78976E37" w14:textId="77777777" w:rsidR="005F1677" w:rsidRDefault="005F1677">
      <w:pPr>
        <w:spacing w:before="0" w:after="0" w:line="240" w:lineRule="auto"/>
      </w:pPr>
      <w:r>
        <w:br w:type="page"/>
      </w:r>
    </w:p>
    <w:p w14:paraId="3A7A0F05" w14:textId="646C36A7" w:rsidR="00A64956" w:rsidRDefault="00A64956" w:rsidP="00814DF0">
      <w:pPr>
        <w:pStyle w:val="Heading2"/>
      </w:pPr>
      <w:bookmarkStart w:id="5" w:name="_Toc98325325"/>
      <w:r>
        <w:lastRenderedPageBreak/>
        <w:t>Common Financial Products</w:t>
      </w:r>
      <w:bookmarkEnd w:id="5"/>
    </w:p>
    <w:p w14:paraId="611923BB" w14:textId="77777777" w:rsidR="007B4E9C" w:rsidRDefault="003A6561" w:rsidP="003A6561">
      <w:r>
        <w:t xml:space="preserve">Financial products can be broadly categorized into several buckets: Savings Products, Credit Products, and Investment Products. </w:t>
      </w:r>
    </w:p>
    <w:p w14:paraId="75519D56" w14:textId="6EB199B4" w:rsidR="007B4E9C" w:rsidRPr="002D14C4" w:rsidRDefault="007B4E9C" w:rsidP="002D14C4">
      <w:pPr>
        <w:pStyle w:val="Heading3"/>
      </w:pPr>
      <w:bookmarkStart w:id="6" w:name="_Toc98325326"/>
      <w:r w:rsidRPr="002D14C4">
        <w:t>Savings Products</w:t>
      </w:r>
      <w:bookmarkEnd w:id="6"/>
    </w:p>
    <w:p w14:paraId="1F0D8697" w14:textId="1B7F2EF6" w:rsidR="00517B78" w:rsidRDefault="003A6561" w:rsidP="003A6561">
      <w:r>
        <w:t xml:space="preserve">Savings products </w:t>
      </w:r>
      <w:r w:rsidR="007B4E9C">
        <w:t xml:space="preserve">and services represent low-risk, low-return activities such as simple banking and budgeting tools. </w:t>
      </w:r>
      <w:r w:rsidR="00110522">
        <w:t xml:space="preserve">Savings products are seldom marketed and universally low-risk, meaning that they necessitate little financial literacy in isolation. </w:t>
      </w:r>
    </w:p>
    <w:p w14:paraId="59C38CB8" w14:textId="541B32BA" w:rsidR="007B4E9C" w:rsidRPr="002D14C4" w:rsidRDefault="007B4E9C" w:rsidP="002D14C4">
      <w:pPr>
        <w:pStyle w:val="Heading3"/>
      </w:pPr>
      <w:bookmarkStart w:id="7" w:name="_Toc98325327"/>
      <w:r w:rsidRPr="002D14C4">
        <w:t>Credit Products</w:t>
      </w:r>
      <w:bookmarkEnd w:id="7"/>
    </w:p>
    <w:p w14:paraId="3275FD56" w14:textId="51058B20" w:rsidR="007B4E9C" w:rsidRDefault="00110522" w:rsidP="007B4E9C">
      <w:pPr>
        <w:rPr>
          <w:lang w:eastAsia="ko-KR"/>
        </w:rPr>
      </w:pPr>
      <w:r>
        <w:rPr>
          <w:lang w:eastAsia="ko-KR"/>
        </w:rPr>
        <w:t>Credit products include credit cards, loans, and mortgage</w:t>
      </w:r>
      <w:r w:rsidR="006C1E18">
        <w:rPr>
          <w:lang w:eastAsia="ko-KR"/>
        </w:rPr>
        <w:t>s. Fundamental to all types of credit is that they allow for access to borrowed money at the cost of interest payments</w:t>
      </w:r>
      <w:r w:rsidR="005E6230">
        <w:rPr>
          <w:lang w:eastAsia="ko-KR"/>
        </w:rPr>
        <w:t xml:space="preserve"> (with the partial exception of credit cards)</w:t>
      </w:r>
      <w:r w:rsidR="006C1E18">
        <w:rPr>
          <w:lang w:eastAsia="ko-KR"/>
        </w:rPr>
        <w:t>. Credit products</w:t>
      </w:r>
      <w:r w:rsidR="005E6230">
        <w:rPr>
          <w:lang w:eastAsia="ko-KR"/>
        </w:rPr>
        <w:t xml:space="preserve"> are riskier, more complicated, and better marketed than savings products. As such, credit products imply a greater need for financial literacy, a higher </w:t>
      </w:r>
      <w:r w:rsidR="00DC3CE3">
        <w:rPr>
          <w:lang w:eastAsia="ko-KR"/>
        </w:rPr>
        <w:t xml:space="preserve">standard of that financial literacy, and a significant downside risk if these financial literacy requirements are not met. </w:t>
      </w:r>
    </w:p>
    <w:p w14:paraId="40CABD7C" w14:textId="3D4EF516" w:rsidR="007B4E9C" w:rsidRPr="002D14C4" w:rsidRDefault="007B4E9C" w:rsidP="002D14C4">
      <w:pPr>
        <w:pStyle w:val="Heading3"/>
      </w:pPr>
      <w:bookmarkStart w:id="8" w:name="_Toc98325328"/>
      <w:r w:rsidRPr="002D14C4">
        <w:t>Investment Products</w:t>
      </w:r>
      <w:bookmarkEnd w:id="8"/>
    </w:p>
    <w:p w14:paraId="191D2D48" w14:textId="363A8BA6" w:rsidR="007B4E9C" w:rsidRPr="007B4E9C" w:rsidRDefault="00C257B1" w:rsidP="007B4E9C">
      <w:pPr>
        <w:rPr>
          <w:lang w:eastAsia="ko-KR"/>
        </w:rPr>
      </w:pPr>
      <w:r>
        <w:rPr>
          <w:lang w:eastAsia="ko-KR"/>
        </w:rPr>
        <w:t xml:space="preserve">Investment products are </w:t>
      </w:r>
      <w:r w:rsidR="006D0A3E">
        <w:rPr>
          <w:lang w:eastAsia="ko-KR"/>
        </w:rPr>
        <w:t xml:space="preserve">the </w:t>
      </w:r>
      <w:r>
        <w:rPr>
          <w:lang w:eastAsia="ko-KR"/>
        </w:rPr>
        <w:t>wide</w:t>
      </w:r>
      <w:r w:rsidR="006D0A3E">
        <w:rPr>
          <w:lang w:eastAsia="ko-KR"/>
        </w:rPr>
        <w:t>st</w:t>
      </w:r>
      <w:r>
        <w:rPr>
          <w:lang w:eastAsia="ko-KR"/>
        </w:rPr>
        <w:t xml:space="preserve">-ranging, fastest-growing, and most </w:t>
      </w:r>
      <w:r w:rsidR="006D0A3E">
        <w:rPr>
          <w:lang w:eastAsia="ko-KR"/>
        </w:rPr>
        <w:t xml:space="preserve">nebulous category of products. </w:t>
      </w:r>
      <w:r w:rsidR="00AC0861">
        <w:rPr>
          <w:lang w:eastAsia="ko-KR"/>
        </w:rPr>
        <w:t xml:space="preserve">This category traditionally comprises stocks, bonds, and managed funds. </w:t>
      </w:r>
      <w:r w:rsidR="00D037E6">
        <w:rPr>
          <w:lang w:eastAsia="ko-KR"/>
        </w:rPr>
        <w:t>Although</w:t>
      </w:r>
      <w:r w:rsidR="006D0A3E">
        <w:rPr>
          <w:lang w:eastAsia="ko-KR"/>
        </w:rPr>
        <w:t xml:space="preserve"> investment products have always carried a higher risk-profile than</w:t>
      </w:r>
      <w:r w:rsidR="00D037E6">
        <w:rPr>
          <w:lang w:eastAsia="ko-KR"/>
        </w:rPr>
        <w:t xml:space="preserve"> most</w:t>
      </w:r>
      <w:r w:rsidR="006D0A3E">
        <w:rPr>
          <w:lang w:eastAsia="ko-KR"/>
        </w:rPr>
        <w:t xml:space="preserve"> credit </w:t>
      </w:r>
      <w:r w:rsidR="00D037E6">
        <w:rPr>
          <w:lang w:eastAsia="ko-KR"/>
        </w:rPr>
        <w:t xml:space="preserve">and all </w:t>
      </w:r>
      <w:r w:rsidR="006D0A3E">
        <w:rPr>
          <w:lang w:eastAsia="ko-KR"/>
        </w:rPr>
        <w:t xml:space="preserve">savings products, they have historically </w:t>
      </w:r>
      <w:r w:rsidR="00D037E6">
        <w:rPr>
          <w:lang w:eastAsia="ko-KR"/>
        </w:rPr>
        <w:t>been adopted by an older, more financially experienced set of individuals. The past decade has seen the composition of investors and investment products change drastically.</w:t>
      </w:r>
      <w:r w:rsidR="0048289C">
        <w:rPr>
          <w:lang w:eastAsia="ko-KR"/>
        </w:rPr>
        <w:t xml:space="preserve"> Investment products now include cryptocurrency and blockchain-based </w:t>
      </w:r>
      <w:r w:rsidR="002A3FAC">
        <w:rPr>
          <w:lang w:eastAsia="ko-KR"/>
        </w:rPr>
        <w:t>assets and are traded at a lower-cost by a younger set of individuals. Because of this complexity, investment products necessitate the most financial literacy</w:t>
      </w:r>
      <w:r w:rsidR="00F71AC1">
        <w:rPr>
          <w:lang w:eastAsia="ko-KR"/>
        </w:rPr>
        <w:t xml:space="preserve"> and the greatest possibility of financial harm if financial literacy is not present. </w:t>
      </w:r>
      <w:r w:rsidR="002A3FAC">
        <w:rPr>
          <w:lang w:eastAsia="ko-KR"/>
        </w:rPr>
        <w:t xml:space="preserve"> </w:t>
      </w:r>
    </w:p>
    <w:p w14:paraId="779F02E9" w14:textId="1F14AA84" w:rsidR="00A64956" w:rsidRDefault="00A64956" w:rsidP="00814DF0">
      <w:pPr>
        <w:pStyle w:val="Heading2"/>
      </w:pPr>
      <w:bookmarkStart w:id="9" w:name="_Toc98325329"/>
      <w:r w:rsidRPr="00A64956">
        <w:lastRenderedPageBreak/>
        <w:t>Purpose of this report</w:t>
      </w:r>
      <w:bookmarkEnd w:id="9"/>
    </w:p>
    <w:p w14:paraId="76DE3B7A" w14:textId="1FB712F6" w:rsidR="002A3FAC" w:rsidRPr="00A76199" w:rsidRDefault="002A3FAC" w:rsidP="002A3FAC">
      <w:pPr>
        <w:rPr>
          <w:rFonts w:ascii="Helvetica" w:hAnsi="Helvetica"/>
        </w:rPr>
      </w:pPr>
      <w:r>
        <w:t>This report aims to determine if the University of British Columbia (UBC)</w:t>
      </w:r>
      <w:r w:rsidR="004912CD">
        <w:t xml:space="preserve"> </w:t>
      </w:r>
      <w:r w:rsidR="00387F36">
        <w:t>provide</w:t>
      </w:r>
      <w:r w:rsidR="002021F6">
        <w:t>s</w:t>
      </w:r>
      <w:r w:rsidR="00387F36">
        <w:t xml:space="preserve"> adequate financial literacy resources and support to </w:t>
      </w:r>
      <w:r w:rsidR="004912CD">
        <w:t>undergraduate students, and to provide recommendations in the event that existing resources are incomplete.</w:t>
      </w:r>
      <w:r w:rsidR="004F01E6">
        <w:t xml:space="preserve"> </w:t>
      </w:r>
      <w:r w:rsidR="004F01E6">
        <w:rPr>
          <w:rFonts w:ascii="Helvetica" w:hAnsi="Helvetica"/>
        </w:rPr>
        <w:t>Students who are poorly-equipped to responsibly manage their finances have an increased risk of failing to pay tuition, a greater chance of being financially distressed, and a reduced ability to evaluate career opportunities</w:t>
      </w:r>
      <w:r w:rsidR="00A76199">
        <w:rPr>
          <w:rFonts w:ascii="Helvetica" w:hAnsi="Helvetica"/>
        </w:rPr>
        <w:t>. The outlined recommendations are personally valuable to the undergraduate population, as well as economically incentivized to UBC.</w:t>
      </w:r>
    </w:p>
    <w:p w14:paraId="2A3FAB84" w14:textId="77777777" w:rsidR="00A64956" w:rsidRPr="00A64956" w:rsidRDefault="00A64956" w:rsidP="00814DF0">
      <w:pPr>
        <w:pStyle w:val="Heading2"/>
      </w:pPr>
      <w:bookmarkStart w:id="10" w:name="_Toc98325330"/>
      <w:r w:rsidRPr="00A64956">
        <w:t>Scope &amp; Methods of Inquiry</w:t>
      </w:r>
      <w:bookmarkEnd w:id="10"/>
    </w:p>
    <w:p w14:paraId="7EC05A7B" w14:textId="545F4E27" w:rsidR="00387F36" w:rsidRPr="00387F36" w:rsidRDefault="00387F36" w:rsidP="00387F36">
      <w:r>
        <w:t xml:space="preserve">The following areas of inquiry are used to evaluate the quality of existing UBC financial literacy resources, and </w:t>
      </w:r>
      <w:r w:rsidR="004912CD">
        <w:t>inform any recommendations:</w:t>
      </w:r>
    </w:p>
    <w:p w14:paraId="345C2A41" w14:textId="72A33014" w:rsidR="00387F36" w:rsidRPr="00387F36" w:rsidRDefault="00387F36" w:rsidP="00387F36">
      <w:pPr>
        <w:numPr>
          <w:ilvl w:val="0"/>
          <w:numId w:val="3"/>
        </w:numPr>
        <w:spacing w:line="240" w:lineRule="auto"/>
      </w:pPr>
      <w:r w:rsidRPr="00387F36">
        <w:t>What are the existing financial literacy resources provided by UBC?</w:t>
      </w:r>
    </w:p>
    <w:p w14:paraId="4ECDC5F8" w14:textId="77777777" w:rsidR="00387F36" w:rsidRPr="00387F36" w:rsidRDefault="00387F36" w:rsidP="00387F36">
      <w:pPr>
        <w:numPr>
          <w:ilvl w:val="0"/>
          <w:numId w:val="3"/>
        </w:numPr>
        <w:spacing w:line="240" w:lineRule="auto"/>
      </w:pPr>
      <w:r w:rsidRPr="00387F36">
        <w:t>Which of these existing resources are most effective, which are least effective?</w:t>
      </w:r>
    </w:p>
    <w:p w14:paraId="4730AA70" w14:textId="77777777" w:rsidR="00387F36" w:rsidRPr="00387F36" w:rsidRDefault="00387F36" w:rsidP="00387F36">
      <w:pPr>
        <w:numPr>
          <w:ilvl w:val="0"/>
          <w:numId w:val="3"/>
        </w:numPr>
        <w:spacing w:line="240" w:lineRule="auto"/>
      </w:pPr>
      <w:r w:rsidRPr="00387F36">
        <w:t xml:space="preserve">What does the existing literature support as the most effective methods of financial education? </w:t>
      </w:r>
    </w:p>
    <w:p w14:paraId="31076161" w14:textId="77777777" w:rsidR="00387F36" w:rsidRPr="00387F36" w:rsidRDefault="00387F36" w:rsidP="00387F36">
      <w:pPr>
        <w:numPr>
          <w:ilvl w:val="0"/>
          <w:numId w:val="3"/>
        </w:numPr>
        <w:spacing w:line="240" w:lineRule="auto"/>
      </w:pPr>
      <w:r w:rsidRPr="00387F36">
        <w:t>Do students feel uncertain about a given set of financial concepts in particular?</w:t>
      </w:r>
    </w:p>
    <w:p w14:paraId="3C7BA027" w14:textId="2BDD2B5D" w:rsidR="004912CD" w:rsidRDefault="00387F36" w:rsidP="004912CD">
      <w:pPr>
        <w:numPr>
          <w:ilvl w:val="0"/>
          <w:numId w:val="3"/>
        </w:numPr>
        <w:spacing w:line="240" w:lineRule="auto"/>
      </w:pPr>
      <w:r w:rsidRPr="00387F36">
        <w:t>Which financial products are most commonly marketed to UBC students?</w:t>
      </w:r>
    </w:p>
    <w:p w14:paraId="5ED55D62" w14:textId="77777777" w:rsidR="00AE0D0B" w:rsidRDefault="00AE0D0B" w:rsidP="00AE0D0B">
      <w:pPr>
        <w:spacing w:line="240" w:lineRule="auto"/>
        <w:ind w:left="720"/>
      </w:pPr>
    </w:p>
    <w:p w14:paraId="06CC736C" w14:textId="598F4A83" w:rsidR="00387F36" w:rsidRPr="00387F36" w:rsidRDefault="00387F36" w:rsidP="00387F36">
      <w:r w:rsidRPr="00387F36">
        <w:t xml:space="preserve">For areas of inquiry related to existing UBC financial literacy resources, </w:t>
      </w:r>
      <w:r w:rsidR="004912CD">
        <w:t xml:space="preserve">data is </w:t>
      </w:r>
      <w:r w:rsidRPr="00387F36">
        <w:t xml:space="preserve">collected from public-facing sources (web, etc.) and contact with relevant representatives. Inquiry about student opinions </w:t>
      </w:r>
      <w:r w:rsidR="004912CD">
        <w:t>is collected from a survey of undergraduate students</w:t>
      </w:r>
      <w:r w:rsidRPr="00387F36">
        <w:t xml:space="preserve">. All other data </w:t>
      </w:r>
      <w:r w:rsidR="004912CD">
        <w:t>is collected from secondary-source research</w:t>
      </w:r>
      <w:r w:rsidRPr="00387F36">
        <w:t>.</w:t>
      </w:r>
    </w:p>
    <w:p w14:paraId="1111683A" w14:textId="68A4EAD2" w:rsidR="004912CD" w:rsidRDefault="004912CD">
      <w:pPr>
        <w:spacing w:before="0" w:after="0" w:line="240" w:lineRule="auto"/>
      </w:pPr>
      <w:r>
        <w:br w:type="page"/>
      </w:r>
    </w:p>
    <w:p w14:paraId="19D17240" w14:textId="6554CF43" w:rsidR="00F10598" w:rsidRPr="00F10598" w:rsidRDefault="004912CD" w:rsidP="004912CD">
      <w:pPr>
        <w:pStyle w:val="Heading1"/>
      </w:pPr>
      <w:bookmarkStart w:id="11" w:name="_Toc98325331"/>
      <w:r>
        <w:lastRenderedPageBreak/>
        <w:t>Report - Data</w:t>
      </w:r>
      <w:bookmarkEnd w:id="11"/>
    </w:p>
    <w:p w14:paraId="69DD9F67" w14:textId="0E4DF579" w:rsidR="0089274E" w:rsidRDefault="004912CD" w:rsidP="004912CD">
      <w:pPr>
        <w:pStyle w:val="Heading2"/>
      </w:pPr>
      <w:bookmarkStart w:id="12" w:name="_Toc98325332"/>
      <w:r>
        <w:t>Existing UBC Financial Literacy Resources</w:t>
      </w:r>
      <w:bookmarkEnd w:id="12"/>
    </w:p>
    <w:p w14:paraId="1BBFEB7D" w14:textId="66CF93C7" w:rsidR="004912CD" w:rsidRPr="002D14C4" w:rsidRDefault="004912CD" w:rsidP="002D14C4">
      <w:pPr>
        <w:pStyle w:val="Heading3"/>
      </w:pPr>
      <w:bookmarkStart w:id="13" w:name="_Toc98325333"/>
      <w:r w:rsidRPr="002D14C4">
        <w:t>UBC Online Resources</w:t>
      </w:r>
      <w:bookmarkEnd w:id="13"/>
    </w:p>
    <w:p w14:paraId="44652650" w14:textId="1203DF44" w:rsidR="00937F9F" w:rsidRDefault="005F6028" w:rsidP="004912CD">
      <w:r>
        <w:t>UBC’s online financial literacy</w:t>
      </w:r>
      <w:r w:rsidR="000F0487">
        <w:t xml:space="preserve"> resources</w:t>
      </w:r>
      <w:r w:rsidR="00C8616B">
        <w:t xml:space="preserve"> are provided by student services</w:t>
      </w:r>
      <w:r w:rsidR="000F0487">
        <w:t xml:space="preserve">. </w:t>
      </w:r>
      <w:r w:rsidR="00B079DB">
        <w:t>The student services website covers the following topics</w:t>
      </w:r>
      <w:r w:rsidR="009366EB">
        <w:t xml:space="preserve"> with adequate detail</w:t>
      </w:r>
      <w:r w:rsidR="00B079DB">
        <w:t>:</w:t>
      </w:r>
    </w:p>
    <w:p w14:paraId="0FABE054" w14:textId="071CCB77" w:rsidR="00B079DB" w:rsidRDefault="00B079DB" w:rsidP="00B079DB">
      <w:pPr>
        <w:pStyle w:val="ListParagraph"/>
        <w:numPr>
          <w:ilvl w:val="0"/>
          <w:numId w:val="4"/>
        </w:numPr>
      </w:pPr>
      <w:r>
        <w:t>Financial support options</w:t>
      </w:r>
    </w:p>
    <w:p w14:paraId="76B63EDD" w14:textId="1E5FBF4A" w:rsidR="00B079DB" w:rsidRDefault="00B079DB" w:rsidP="00B079DB">
      <w:pPr>
        <w:pStyle w:val="ListParagraph"/>
        <w:numPr>
          <w:ilvl w:val="0"/>
          <w:numId w:val="4"/>
        </w:numPr>
      </w:pPr>
      <w:r>
        <w:t>Financial Planning</w:t>
      </w:r>
    </w:p>
    <w:p w14:paraId="5A3A4F4D" w14:textId="1B6F98C7" w:rsidR="00B079DB" w:rsidRDefault="00B079DB" w:rsidP="00B079DB">
      <w:pPr>
        <w:pStyle w:val="ListParagraph"/>
        <w:numPr>
          <w:ilvl w:val="0"/>
          <w:numId w:val="4"/>
        </w:numPr>
      </w:pPr>
      <w:r>
        <w:t>Student Loans</w:t>
      </w:r>
    </w:p>
    <w:p w14:paraId="2344C75D" w14:textId="7D977600" w:rsidR="00B079DB" w:rsidRDefault="00B079DB" w:rsidP="00B079DB">
      <w:r>
        <w:t xml:space="preserve">Topics closely related to covering the cost of tuition are described with great detail (financial support options/student loans). </w:t>
      </w:r>
      <w:r w:rsidR="009366EB">
        <w:t xml:space="preserve">Other financial literacy resources, such as financial planning, budgeting, and topics covering credit, and described in decreasing </w:t>
      </w:r>
      <w:r w:rsidR="00693301">
        <w:t>detail</w:t>
      </w:r>
      <w:r w:rsidR="009366EB">
        <w:t>.</w:t>
      </w:r>
      <w:r w:rsidR="00BF7297">
        <w:t xml:space="preserve"> Credit, despite underpinning the concept of student loans, is only served by a single pdf among an unsorted list of miscellaneous topics.</w:t>
      </w:r>
    </w:p>
    <w:p w14:paraId="3F9DF7A7" w14:textId="55F3D109" w:rsidR="00937F9F" w:rsidRPr="002D14C4" w:rsidRDefault="00937F9F" w:rsidP="002D14C4">
      <w:pPr>
        <w:pStyle w:val="Heading3"/>
      </w:pPr>
      <w:bookmarkStart w:id="14" w:name="_Toc98325335"/>
      <w:r w:rsidRPr="002D14C4">
        <w:t>UBC Advisory Resources</w:t>
      </w:r>
      <w:bookmarkEnd w:id="14"/>
    </w:p>
    <w:p w14:paraId="10A90C17" w14:textId="4554271D" w:rsidR="00693301" w:rsidRDefault="000F0487" w:rsidP="00937F9F">
      <w:pPr>
        <w:rPr>
          <w:lang w:eastAsia="ko-KR"/>
        </w:rPr>
      </w:pPr>
      <w:r>
        <w:rPr>
          <w:lang w:eastAsia="ko-KR"/>
        </w:rPr>
        <w:t xml:space="preserve">In addition to the static online resources, </w:t>
      </w:r>
      <w:r w:rsidR="009366EB">
        <w:rPr>
          <w:lang w:eastAsia="ko-KR"/>
        </w:rPr>
        <w:t>UBC student services holds a number of financial wellness workshops. These workshops cover topics, such as credit, with adequate detail</w:t>
      </w:r>
      <w:r w:rsidR="00CB7FDD">
        <w:rPr>
          <w:lang w:eastAsia="ko-KR"/>
        </w:rPr>
        <w:t xml:space="preserve">, and appear to offer some coverage of concepts that aren’t well covered in the online materials. </w:t>
      </w:r>
      <w:r w:rsidR="00B1484A">
        <w:rPr>
          <w:lang w:eastAsia="ko-KR"/>
        </w:rPr>
        <w:t>Finally</w:t>
      </w:r>
      <w:r w:rsidR="00F1365C">
        <w:rPr>
          <w:lang w:eastAsia="ko-KR"/>
        </w:rPr>
        <w:t>, each student’s enrollment services advisor is available as a resource for financial literacy.</w:t>
      </w:r>
    </w:p>
    <w:p w14:paraId="4CDDBD1A" w14:textId="71AC795E" w:rsidR="009366EB" w:rsidRDefault="009366EB">
      <w:pPr>
        <w:spacing w:before="0" w:after="0" w:line="240" w:lineRule="auto"/>
        <w:rPr>
          <w:lang w:eastAsia="ko-KR"/>
        </w:rPr>
      </w:pPr>
      <w:r>
        <w:rPr>
          <w:lang w:eastAsia="ko-KR"/>
        </w:rPr>
        <w:br w:type="page"/>
      </w:r>
    </w:p>
    <w:p w14:paraId="3F8ACE39" w14:textId="6072CE24" w:rsidR="00937F9F" w:rsidRDefault="00937F9F" w:rsidP="00937F9F">
      <w:pPr>
        <w:pStyle w:val="Heading2"/>
      </w:pPr>
      <w:bookmarkStart w:id="15" w:name="_Toc98325336"/>
      <w:r>
        <w:lastRenderedPageBreak/>
        <w:t>Financial Literacy Education Best-Practices</w:t>
      </w:r>
      <w:bookmarkEnd w:id="15"/>
    </w:p>
    <w:p w14:paraId="2F5B13A5" w14:textId="7A87214F" w:rsidR="00937F9F" w:rsidRPr="002D14C4" w:rsidRDefault="00937F9F" w:rsidP="002D14C4">
      <w:pPr>
        <w:pStyle w:val="Heading3"/>
      </w:pPr>
      <w:bookmarkStart w:id="16" w:name="_Toc98325337"/>
      <w:r w:rsidRPr="002D14C4">
        <w:t>Review of Literature</w:t>
      </w:r>
      <w:bookmarkEnd w:id="16"/>
    </w:p>
    <w:p w14:paraId="1318A920" w14:textId="4DB6628D" w:rsidR="009D01D8" w:rsidRDefault="006F7A8E" w:rsidP="00937F9F">
      <w:pPr>
        <w:rPr>
          <w:lang w:eastAsia="ko-KR"/>
        </w:rPr>
      </w:pPr>
      <w:r>
        <w:rPr>
          <w:lang w:eastAsia="ko-KR"/>
        </w:rPr>
        <w:t xml:space="preserve">Financial literacy </w:t>
      </w:r>
      <w:r w:rsidR="004B6566">
        <w:rPr>
          <w:lang w:eastAsia="ko-KR"/>
        </w:rPr>
        <w:t xml:space="preserve">education is </w:t>
      </w:r>
      <w:r w:rsidR="00120B79">
        <w:rPr>
          <w:lang w:eastAsia="ko-KR"/>
        </w:rPr>
        <w:t>complicated, multi-faceted process beginning at the elementary school level.</w:t>
      </w:r>
      <w:r w:rsidR="007142AC">
        <w:rPr>
          <w:lang w:eastAsia="ko-KR"/>
        </w:rPr>
        <w:t xml:space="preserve"> </w:t>
      </w:r>
      <w:r w:rsidR="00634512">
        <w:rPr>
          <w:lang w:eastAsia="ko-KR"/>
        </w:rPr>
        <w:t>There are a number of parties who share partial responsibility for providing financial literacy education</w:t>
      </w:r>
      <w:r w:rsidR="007011C8">
        <w:rPr>
          <w:lang w:eastAsia="ko-KR"/>
        </w:rPr>
        <w:t>, and s</w:t>
      </w:r>
      <w:r w:rsidR="007142AC">
        <w:rPr>
          <w:lang w:eastAsia="ko-KR"/>
        </w:rPr>
        <w:t xml:space="preserve">tudents arrive </w:t>
      </w:r>
      <w:r w:rsidR="00ED40D1">
        <w:rPr>
          <w:lang w:eastAsia="ko-KR"/>
        </w:rPr>
        <w:t xml:space="preserve">as undergraduates </w:t>
      </w:r>
      <w:r w:rsidR="007142AC">
        <w:rPr>
          <w:lang w:eastAsia="ko-KR"/>
        </w:rPr>
        <w:t>from range of countries and culture</w:t>
      </w:r>
      <w:r w:rsidR="00ED40D1">
        <w:rPr>
          <w:lang w:eastAsia="ko-KR"/>
        </w:rPr>
        <w:t>s</w:t>
      </w:r>
      <w:r w:rsidR="007142AC">
        <w:rPr>
          <w:lang w:eastAsia="ko-KR"/>
        </w:rPr>
        <w:t xml:space="preserve">, each with </w:t>
      </w:r>
      <w:r w:rsidR="00ED40D1">
        <w:rPr>
          <w:lang w:eastAsia="ko-KR"/>
        </w:rPr>
        <w:t>a unique level of financial literacy.</w:t>
      </w:r>
      <w:r w:rsidR="007011C8">
        <w:rPr>
          <w:lang w:eastAsia="ko-KR"/>
        </w:rPr>
        <w:t xml:space="preserve"> As a result, higher-education institutions shoulder a unique set </w:t>
      </w:r>
      <w:r w:rsidR="009D01D8">
        <w:rPr>
          <w:lang w:eastAsia="ko-KR"/>
        </w:rPr>
        <w:t>of</w:t>
      </w:r>
      <w:r w:rsidR="007011C8">
        <w:rPr>
          <w:lang w:eastAsia="ko-KR"/>
        </w:rPr>
        <w:t xml:space="preserve"> responsibilit</w:t>
      </w:r>
      <w:r w:rsidR="009D01D8">
        <w:rPr>
          <w:lang w:eastAsia="ko-KR"/>
        </w:rPr>
        <w:t>ies</w:t>
      </w:r>
      <w:r w:rsidR="007011C8">
        <w:rPr>
          <w:lang w:eastAsia="ko-KR"/>
        </w:rPr>
        <w:t xml:space="preserve"> in terms of financial literacy education</w:t>
      </w:r>
      <w:r w:rsidR="009D01D8">
        <w:rPr>
          <w:lang w:eastAsia="ko-KR"/>
        </w:rPr>
        <w:t xml:space="preserve">. </w:t>
      </w:r>
    </w:p>
    <w:p w14:paraId="50CA7197" w14:textId="36FAA513" w:rsidR="00831785" w:rsidRDefault="009D01D8" w:rsidP="00937F9F">
      <w:pPr>
        <w:rPr>
          <w:lang w:eastAsia="ko-KR"/>
        </w:rPr>
      </w:pPr>
      <w:r>
        <w:rPr>
          <w:lang w:eastAsia="ko-KR"/>
        </w:rPr>
        <w:t xml:space="preserve">A review of literature </w:t>
      </w:r>
      <w:r w:rsidR="00831785">
        <w:rPr>
          <w:lang w:eastAsia="ko-KR"/>
        </w:rPr>
        <w:t xml:space="preserve">describing </w:t>
      </w:r>
      <w:r>
        <w:rPr>
          <w:lang w:eastAsia="ko-KR"/>
        </w:rPr>
        <w:t xml:space="preserve">financial literacy education </w:t>
      </w:r>
      <w:r w:rsidR="00426BEF">
        <w:rPr>
          <w:lang w:eastAsia="ko-KR"/>
        </w:rPr>
        <w:t xml:space="preserve">at the higher-education yields </w:t>
      </w:r>
      <w:r w:rsidR="00831785">
        <w:rPr>
          <w:lang w:eastAsia="ko-KR"/>
        </w:rPr>
        <w:t>and exhaustive set of recommendations, and suggested responsibilities.</w:t>
      </w:r>
      <w:r w:rsidR="006B7FDE">
        <w:rPr>
          <w:lang w:eastAsia="ko-KR"/>
        </w:rPr>
        <w:t xml:space="preserve"> </w:t>
      </w:r>
      <w:r w:rsidR="00831785">
        <w:rPr>
          <w:lang w:eastAsia="ko-KR"/>
        </w:rPr>
        <w:t xml:space="preserve"> </w:t>
      </w:r>
    </w:p>
    <w:p w14:paraId="405A5371" w14:textId="331D8044" w:rsidR="0068146A" w:rsidRPr="002D14C4" w:rsidRDefault="0068146A" w:rsidP="002D14C4">
      <w:pPr>
        <w:pStyle w:val="Heading3"/>
      </w:pPr>
      <w:r w:rsidRPr="002D14C4">
        <w:t>Best Practices for Delivery of Financial Literacy Education</w:t>
      </w:r>
    </w:p>
    <w:p w14:paraId="0DCE7DBC" w14:textId="44A9F638" w:rsidR="0068146A" w:rsidRPr="0068146A" w:rsidRDefault="0068146A" w:rsidP="0068146A">
      <w:pPr>
        <w:rPr>
          <w:lang w:eastAsia="ko-KR"/>
        </w:rPr>
      </w:pPr>
      <w:r>
        <w:rPr>
          <w:lang w:eastAsia="ko-KR"/>
        </w:rPr>
        <w:t xml:space="preserve">The following </w:t>
      </w:r>
      <w:r w:rsidR="00163B76">
        <w:rPr>
          <w:lang w:eastAsia="ko-KR"/>
        </w:rPr>
        <w:t xml:space="preserve">best-practices are a selection from the set of recommendations made by the U.S. </w:t>
      </w:r>
      <w:r w:rsidR="00B1484A">
        <w:rPr>
          <w:lang w:eastAsia="ko-KR"/>
        </w:rPr>
        <w:t>Financial Literacy and Education Committee</w:t>
      </w:r>
      <w:r w:rsidR="001B6B1D">
        <w:rPr>
          <w:lang w:eastAsia="ko-KR"/>
        </w:rPr>
        <w:t xml:space="preserve"> to higher-education institutions.</w:t>
      </w:r>
      <w:r w:rsidR="00B1484A">
        <w:rPr>
          <w:lang w:eastAsia="ko-KR"/>
        </w:rPr>
        <w:t xml:space="preserve"> (U.S. Treasury Department, 2019).</w:t>
      </w:r>
      <w:r w:rsidR="001B6B1D">
        <w:rPr>
          <w:lang w:eastAsia="ko-KR"/>
        </w:rPr>
        <w:t xml:space="preserve"> </w:t>
      </w:r>
    </w:p>
    <w:p w14:paraId="25DDDBD6" w14:textId="1FFC3EE3" w:rsidR="0068146A" w:rsidRDefault="00B1484A" w:rsidP="0068146A">
      <w:pPr>
        <w:pStyle w:val="ListParagraph"/>
        <w:numPr>
          <w:ilvl w:val="0"/>
          <w:numId w:val="5"/>
        </w:numPr>
        <w:rPr>
          <w:lang w:eastAsia="ko-KR"/>
        </w:rPr>
      </w:pPr>
      <w:r>
        <w:rPr>
          <w:lang w:eastAsia="ko-KR"/>
        </w:rPr>
        <w:t>Provide Clear, Timely, and Customized Information to Inform Student Borrowing</w:t>
      </w:r>
    </w:p>
    <w:p w14:paraId="697B8ABD" w14:textId="101C1271" w:rsidR="0068146A" w:rsidRDefault="001B6B1D" w:rsidP="0068146A">
      <w:pPr>
        <w:pStyle w:val="ListParagraph"/>
        <w:numPr>
          <w:ilvl w:val="0"/>
          <w:numId w:val="5"/>
        </w:numPr>
        <w:rPr>
          <w:lang w:eastAsia="ko-KR"/>
        </w:rPr>
      </w:pPr>
      <w:r>
        <w:rPr>
          <w:lang w:eastAsia="ko-KR"/>
        </w:rPr>
        <w:t>Effectively Engaging Students in Financial Literacy Education</w:t>
      </w:r>
    </w:p>
    <w:p w14:paraId="2D15DFAB" w14:textId="76DB5FB8" w:rsidR="00937F9F" w:rsidRDefault="001B6B1D" w:rsidP="007C1551">
      <w:pPr>
        <w:pStyle w:val="ListParagraph"/>
        <w:numPr>
          <w:ilvl w:val="0"/>
          <w:numId w:val="5"/>
        </w:numPr>
        <w:rPr>
          <w:lang w:eastAsia="ko-KR"/>
        </w:rPr>
      </w:pPr>
      <w:r>
        <w:rPr>
          <w:lang w:eastAsia="ko-KR"/>
        </w:rPr>
        <w:t>Preparing Students to Meet Financial Obligations Upon Graduation</w:t>
      </w:r>
    </w:p>
    <w:p w14:paraId="58F40590" w14:textId="1242CDD7" w:rsidR="001B6B1D" w:rsidRDefault="00816DC0" w:rsidP="001B6B1D">
      <w:pPr>
        <w:rPr>
          <w:lang w:eastAsia="ko-KR"/>
        </w:rPr>
      </w:pPr>
      <w:r>
        <w:rPr>
          <w:lang w:eastAsia="ko-KR"/>
        </w:rPr>
        <w:t>These recommendations designate the responsibility of student-loan related financial literacy education, as well as general financial literacy education, to the higher-education institution</w:t>
      </w:r>
      <w:r w:rsidR="004738C4">
        <w:rPr>
          <w:lang w:eastAsia="ko-KR"/>
        </w:rPr>
        <w:t xml:space="preserve">. Additional recommendations made in the report focus on </w:t>
      </w:r>
      <w:r w:rsidR="00EA081B">
        <w:rPr>
          <w:lang w:eastAsia="ko-KR"/>
        </w:rPr>
        <w:t xml:space="preserve">providing additional resources for managing student loans. All student loan considerations will be considered as a single recommendation for the sake of simplicity. </w:t>
      </w:r>
    </w:p>
    <w:p w14:paraId="76D87145" w14:textId="2AB99352" w:rsidR="00AD0ECF" w:rsidRDefault="00AD0ECF">
      <w:pPr>
        <w:spacing w:before="0" w:after="0" w:line="240" w:lineRule="auto"/>
        <w:rPr>
          <w:lang w:eastAsia="ko-KR"/>
        </w:rPr>
      </w:pPr>
      <w:r>
        <w:rPr>
          <w:lang w:eastAsia="ko-KR"/>
        </w:rPr>
        <w:br w:type="page"/>
      </w:r>
    </w:p>
    <w:p w14:paraId="5D7CCDB6" w14:textId="6FED9203" w:rsidR="00937F9F" w:rsidRDefault="00937F9F" w:rsidP="008C61B8">
      <w:pPr>
        <w:pStyle w:val="Heading2"/>
      </w:pPr>
      <w:bookmarkStart w:id="17" w:name="_Toc98325339"/>
      <w:r>
        <w:lastRenderedPageBreak/>
        <w:t>Survey Results</w:t>
      </w:r>
      <w:bookmarkEnd w:id="17"/>
    </w:p>
    <w:p w14:paraId="5E64E991" w14:textId="2F7DD88A" w:rsidR="002A79BC" w:rsidRPr="002A79BC" w:rsidRDefault="00640311" w:rsidP="002A79BC">
      <w:r>
        <w:t>U</w:t>
      </w:r>
      <w:r w:rsidR="00816DC0">
        <w:t xml:space="preserve">ndergraduate </w:t>
      </w:r>
      <w:r w:rsidR="002A79BC">
        <w:t xml:space="preserve">students were </w:t>
      </w:r>
      <w:r>
        <w:t xml:space="preserve">voluntarily </w:t>
      </w:r>
      <w:r w:rsidR="002A79BC">
        <w:t xml:space="preserve">asked to complete a short survey about their own levels of financial literacy, experience with financial products, and familiarity with UBC’s existing financial literacy resources. </w:t>
      </w:r>
    </w:p>
    <w:p w14:paraId="6DEA2CF1" w14:textId="3B326249" w:rsidR="00937F9F" w:rsidRPr="002D14C4" w:rsidRDefault="00937F9F" w:rsidP="002D14C4">
      <w:pPr>
        <w:pStyle w:val="Heading3"/>
      </w:pPr>
      <w:bookmarkStart w:id="18" w:name="_Toc98325340"/>
      <w:r w:rsidRPr="002D14C4">
        <w:t>Self-Assessed Level of Financial Literacy</w:t>
      </w:r>
      <w:bookmarkEnd w:id="18"/>
    </w:p>
    <w:p w14:paraId="16F16915" w14:textId="1F2BA255" w:rsidR="00937F9F" w:rsidRDefault="003A4246" w:rsidP="00937F9F">
      <w:pPr>
        <w:rPr>
          <w:lang w:eastAsia="ko-KR"/>
        </w:rPr>
      </w:pPr>
      <w:r>
        <w:rPr>
          <w:lang w:eastAsia="ko-KR"/>
        </w:rPr>
        <w:t xml:space="preserve">Most students </w:t>
      </w:r>
      <w:r w:rsidR="00AE17FF">
        <w:rPr>
          <w:lang w:eastAsia="ko-KR"/>
        </w:rPr>
        <w:t xml:space="preserve">feel relatively comfortable with their level of financial literacy, as 60% of respondents indicate that they feel between “Somewhat uncomfortable” and “Somewhat comfortable” about their level of financial literacy. </w:t>
      </w:r>
      <w:r w:rsidR="00AC00A3">
        <w:rPr>
          <w:lang w:eastAsia="ko-KR"/>
        </w:rPr>
        <w:t>On either extreme, m</w:t>
      </w:r>
      <w:r w:rsidR="00AE17FF">
        <w:rPr>
          <w:lang w:eastAsia="ko-KR"/>
        </w:rPr>
        <w:t>ore students feel “Extremely uncomfortable” (15%) than “Extremely comfortable” (</w:t>
      </w:r>
      <w:r w:rsidR="00AC00A3">
        <w:rPr>
          <w:lang w:eastAsia="ko-KR"/>
        </w:rPr>
        <w:t>5%).</w:t>
      </w:r>
    </w:p>
    <w:p w14:paraId="54B67983" w14:textId="255CA902" w:rsidR="00107EA7" w:rsidRDefault="00AC00A3" w:rsidP="00937F9F">
      <w:pPr>
        <w:rPr>
          <w:lang w:eastAsia="ko-KR"/>
        </w:rPr>
      </w:pPr>
      <w:r>
        <w:rPr>
          <w:lang w:eastAsia="ko-KR"/>
        </w:rPr>
        <w:t>Students are slightly more pessimistic about their ability to manage their own money. As many students find it “Somewhat difficult” (30%) to manage their money as those that find it “Somewhat Easy” (20%) or “Extremely easy” (10%).</w:t>
      </w:r>
      <w:r w:rsidR="00640311">
        <w:rPr>
          <w:lang w:eastAsia="ko-KR"/>
        </w:rPr>
        <w:t xml:space="preserve"> A further 25% of students find managing their money “Neither easy nor difficult”.</w:t>
      </w:r>
      <w:r w:rsidR="003639B1">
        <w:rPr>
          <w:lang w:eastAsia="ko-KR"/>
        </w:rPr>
        <w:t xml:space="preserve"> The </w:t>
      </w:r>
    </w:p>
    <w:p w14:paraId="20FD3B39" w14:textId="7C361527" w:rsidR="003639B1" w:rsidRDefault="003639B1" w:rsidP="00937F9F">
      <w:pPr>
        <w:rPr>
          <w:lang w:eastAsia="ko-KR"/>
        </w:rPr>
      </w:pPr>
      <w:r>
        <w:rPr>
          <w:noProof/>
          <w:lang w:eastAsia="ko-KR"/>
        </w:rPr>
        <w:drawing>
          <wp:inline distT="0" distB="0" distL="0" distR="0" wp14:anchorId="41D67639" wp14:editId="77DB7DBF">
            <wp:extent cx="5772539" cy="32004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A19D4A3" w14:textId="4FBE420A" w:rsidR="00640311" w:rsidRPr="00937F9F" w:rsidRDefault="00013239" w:rsidP="00937F9F">
      <w:pPr>
        <w:rPr>
          <w:lang w:eastAsia="ko-KR"/>
        </w:rPr>
      </w:pPr>
      <w:r>
        <w:rPr>
          <w:lang w:eastAsia="ko-KR"/>
        </w:rPr>
        <w:lastRenderedPageBreak/>
        <w:t xml:space="preserve">Students are most familiar with the terms “Credit” (100%), </w:t>
      </w:r>
      <w:r w:rsidR="003C1FAB">
        <w:rPr>
          <w:lang w:eastAsia="ko-KR"/>
        </w:rPr>
        <w:t>“Debt” (85%), “Stocks” (70%), and more familiar with “Cryptocurrency” (65%) than “Interest Rate(s)” (60%). Just over a third (7/20) students were familiar with “Bonds”, the lowest-risk security.</w:t>
      </w:r>
    </w:p>
    <w:p w14:paraId="64A66BE9" w14:textId="57BF4F13" w:rsidR="00937F9F" w:rsidRPr="002D14C4" w:rsidRDefault="00727120" w:rsidP="002D14C4">
      <w:pPr>
        <w:pStyle w:val="Heading3"/>
      </w:pPr>
      <w:r w:rsidRPr="002D14C4">
        <w:t>Exposure to Financial Products</w:t>
      </w:r>
    </w:p>
    <w:p w14:paraId="456845C3" w14:textId="581B7AF7" w:rsidR="003C1FAB" w:rsidRDefault="002535D7" w:rsidP="003C1FAB">
      <w:pPr>
        <w:rPr>
          <w:lang w:eastAsia="ko-KR"/>
        </w:rPr>
      </w:pPr>
      <w:r>
        <w:rPr>
          <w:lang w:eastAsia="ko-KR"/>
        </w:rPr>
        <w:t xml:space="preserve">Advertisers seem to care about reaching students, as 60% of respondents note that they “Somewhat” (45%) or “Strongly” (15%) agree </w:t>
      </w:r>
      <w:r w:rsidR="006F0996">
        <w:rPr>
          <w:lang w:eastAsia="ko-KR"/>
        </w:rPr>
        <w:t>that they get “a lot” of ads for financial products. Whatever the catalyst, students have been increasing their exposure to investments. Almost every (85%) student has “become more interested in investing” in the past 12 months.</w:t>
      </w:r>
      <w:r w:rsidR="005A7FB5">
        <w:rPr>
          <w:lang w:eastAsia="ko-KR"/>
        </w:rPr>
        <w:t xml:space="preserve"> All students learned about a new financial concept (100%) over the past 12 months, with YouTube serving as a source for 75% of students, followed by TikTok (35%), and Books (15%). Curiously, no students indicate that they learned about a financial concept from UBC resources in the past 12 months (0%). </w:t>
      </w:r>
    </w:p>
    <w:p w14:paraId="31493EDB" w14:textId="61FD2B54" w:rsidR="00216252" w:rsidRDefault="00216252" w:rsidP="003C1FAB">
      <w:pPr>
        <w:rPr>
          <w:lang w:eastAsia="ko-KR"/>
        </w:rPr>
      </w:pPr>
      <w:r>
        <w:rPr>
          <w:noProof/>
          <w:lang w:eastAsia="ko-KR"/>
        </w:rPr>
        <w:drawing>
          <wp:inline distT="0" distB="0" distL="0" distR="0" wp14:anchorId="48741234" wp14:editId="199B3FDE">
            <wp:extent cx="5772539" cy="320040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82E24F5" w14:textId="77777777" w:rsidR="009974F3" w:rsidRDefault="009974F3" w:rsidP="003C1FAB">
      <w:pPr>
        <w:rPr>
          <w:lang w:eastAsia="ko-KR"/>
        </w:rPr>
      </w:pPr>
    </w:p>
    <w:p w14:paraId="5850DB25" w14:textId="1EFEA96E" w:rsidR="00A313EC" w:rsidRPr="002D14C4" w:rsidRDefault="00A313EC" w:rsidP="002D14C4">
      <w:pPr>
        <w:pStyle w:val="Heading3"/>
      </w:pPr>
      <w:r w:rsidRPr="002D14C4">
        <w:lastRenderedPageBreak/>
        <w:t>Sentiments towards Financial Literacy Education</w:t>
      </w:r>
    </w:p>
    <w:p w14:paraId="2AB6ABBE" w14:textId="4E7ED61D" w:rsidR="00A313EC" w:rsidRPr="00A313EC" w:rsidRDefault="0001275D" w:rsidP="00A313EC">
      <w:pPr>
        <w:rPr>
          <w:lang w:eastAsia="ko-KR"/>
        </w:rPr>
      </w:pPr>
      <w:r>
        <w:rPr>
          <w:lang w:eastAsia="ko-KR"/>
        </w:rPr>
        <w:t>Students f</w:t>
      </w:r>
      <w:r w:rsidR="0002437A">
        <w:rPr>
          <w:lang w:eastAsia="ko-KR"/>
        </w:rPr>
        <w:t xml:space="preserve">eel strongly (71% </w:t>
      </w:r>
      <w:r>
        <w:rPr>
          <w:lang w:eastAsia="ko-KR"/>
        </w:rPr>
        <w:t xml:space="preserve">average </w:t>
      </w:r>
      <w:r w:rsidR="0002437A">
        <w:rPr>
          <w:lang w:eastAsia="ko-KR"/>
        </w:rPr>
        <w:t>agreeance) that “No one taught me how to do my taxes”, and even more strongly (</w:t>
      </w:r>
      <w:r>
        <w:rPr>
          <w:lang w:eastAsia="ko-KR"/>
        </w:rPr>
        <w:t xml:space="preserve">81% average agreeance) </w:t>
      </w:r>
      <w:r w:rsidR="0002437A">
        <w:rPr>
          <w:lang w:eastAsia="ko-KR"/>
        </w:rPr>
        <w:t>that</w:t>
      </w:r>
      <w:r>
        <w:rPr>
          <w:lang w:eastAsia="ko-KR"/>
        </w:rPr>
        <w:t xml:space="preserve"> they “</w:t>
      </w:r>
      <w:r w:rsidR="0002437A">
        <w:rPr>
          <w:lang w:eastAsia="ko-KR"/>
        </w:rPr>
        <w:t>had to learn about financial responsibilities”</w:t>
      </w:r>
      <w:r w:rsidR="000E7742">
        <w:rPr>
          <w:lang w:eastAsia="ko-KR"/>
        </w:rPr>
        <w:t xml:space="preserve"> on their own. Finally, all students agree</w:t>
      </w:r>
      <w:r w:rsidR="001E449C">
        <w:rPr>
          <w:lang w:eastAsia="ko-KR"/>
        </w:rPr>
        <w:t xml:space="preserve"> to some degree</w:t>
      </w:r>
      <w:r w:rsidR="000E7742">
        <w:rPr>
          <w:lang w:eastAsia="ko-KR"/>
        </w:rPr>
        <w:t xml:space="preserve"> (&gt; 50% agreeance) that educational institutions are responsible for teaching students some level of financial knowledge. </w:t>
      </w:r>
    </w:p>
    <w:p w14:paraId="505C07FF" w14:textId="75ABAB22" w:rsidR="00937F9F" w:rsidRDefault="00937F9F">
      <w:pPr>
        <w:spacing w:before="0" w:after="0" w:line="240" w:lineRule="auto"/>
      </w:pPr>
      <w:r>
        <w:br w:type="page"/>
      </w:r>
    </w:p>
    <w:p w14:paraId="55D12DF6" w14:textId="7D7A7C67" w:rsidR="00937F9F" w:rsidRDefault="00937F9F" w:rsidP="00937F9F">
      <w:pPr>
        <w:pStyle w:val="Heading1"/>
      </w:pPr>
      <w:bookmarkStart w:id="19" w:name="_Toc98325342"/>
      <w:r>
        <w:lastRenderedPageBreak/>
        <w:t>Conclusion</w:t>
      </w:r>
      <w:bookmarkEnd w:id="19"/>
    </w:p>
    <w:p w14:paraId="1023B0F3" w14:textId="110AC49B" w:rsidR="00CA06F4" w:rsidRPr="00CA06F4" w:rsidRDefault="00937F9F" w:rsidP="00A313EC">
      <w:pPr>
        <w:pStyle w:val="Heading2"/>
      </w:pPr>
      <w:bookmarkStart w:id="20" w:name="_Toc98325343"/>
      <w:r>
        <w:t>Summary of Findings</w:t>
      </w:r>
      <w:bookmarkEnd w:id="20"/>
    </w:p>
    <w:p w14:paraId="50E4DF4E" w14:textId="417700F0" w:rsidR="00AD0ECF" w:rsidRPr="002D14C4" w:rsidRDefault="001D63B0" w:rsidP="002D14C4">
      <w:pPr>
        <w:pStyle w:val="Heading3"/>
      </w:pPr>
      <w:r w:rsidRPr="002D14C4">
        <w:t>Topics</w:t>
      </w:r>
      <w:r w:rsidR="00AC4F8D" w:rsidRPr="002D14C4">
        <w:t xml:space="preserve"> Covered by</w:t>
      </w:r>
      <w:r w:rsidRPr="002D14C4">
        <w:t xml:space="preserve"> Existing Resources</w:t>
      </w:r>
    </w:p>
    <w:p w14:paraId="3C67BB03" w14:textId="05CB434E" w:rsidR="00AC4F8D" w:rsidRDefault="00522860" w:rsidP="00522860">
      <w:pPr>
        <w:spacing w:line="240" w:lineRule="auto"/>
        <w:rPr>
          <w:lang w:eastAsia="ko-KR"/>
        </w:rPr>
      </w:pPr>
      <w:r>
        <w:rPr>
          <w:lang w:eastAsia="ko-KR"/>
        </w:rPr>
        <w:t>Topics covered by online resources</w:t>
      </w:r>
    </w:p>
    <w:p w14:paraId="61E1C719" w14:textId="5CA430FB" w:rsidR="00522860" w:rsidRDefault="00522860" w:rsidP="00522860">
      <w:pPr>
        <w:pStyle w:val="ListParagraph"/>
        <w:numPr>
          <w:ilvl w:val="0"/>
          <w:numId w:val="9"/>
        </w:numPr>
        <w:spacing w:before="0"/>
        <w:ind w:left="714" w:hanging="357"/>
        <w:rPr>
          <w:lang w:eastAsia="ko-KR"/>
        </w:rPr>
      </w:pPr>
      <w:r>
        <w:rPr>
          <w:lang w:eastAsia="ko-KR"/>
        </w:rPr>
        <w:t>Student Loans</w:t>
      </w:r>
    </w:p>
    <w:p w14:paraId="21F7ED52" w14:textId="79827AAF" w:rsidR="00522860" w:rsidRDefault="00522860" w:rsidP="00522860">
      <w:pPr>
        <w:pStyle w:val="ListParagraph"/>
        <w:numPr>
          <w:ilvl w:val="0"/>
          <w:numId w:val="9"/>
        </w:numPr>
        <w:rPr>
          <w:lang w:eastAsia="ko-KR"/>
        </w:rPr>
      </w:pPr>
      <w:r>
        <w:rPr>
          <w:lang w:eastAsia="ko-KR"/>
        </w:rPr>
        <w:t>Financial Support</w:t>
      </w:r>
    </w:p>
    <w:p w14:paraId="1DA9735A" w14:textId="06273C6B" w:rsidR="00522860" w:rsidRDefault="00522860" w:rsidP="00522860">
      <w:pPr>
        <w:pStyle w:val="ListParagraph"/>
        <w:numPr>
          <w:ilvl w:val="0"/>
          <w:numId w:val="9"/>
        </w:numPr>
        <w:rPr>
          <w:lang w:eastAsia="ko-KR"/>
        </w:rPr>
      </w:pPr>
      <w:r>
        <w:rPr>
          <w:lang w:eastAsia="ko-KR"/>
        </w:rPr>
        <w:t>Financial Planning</w:t>
      </w:r>
    </w:p>
    <w:p w14:paraId="2A459217" w14:textId="62CAD339" w:rsidR="00522860" w:rsidRDefault="00522860" w:rsidP="00522860">
      <w:pPr>
        <w:spacing w:before="0" w:after="0"/>
        <w:rPr>
          <w:lang w:eastAsia="ko-KR"/>
        </w:rPr>
      </w:pPr>
      <w:r>
        <w:rPr>
          <w:lang w:eastAsia="ko-KR"/>
        </w:rPr>
        <w:t>Topics Covered by in-person workshops or individualized resources</w:t>
      </w:r>
    </w:p>
    <w:p w14:paraId="1A160CF9" w14:textId="24CF55B9" w:rsidR="00522860" w:rsidRPr="00AC4F8D" w:rsidRDefault="00522860" w:rsidP="00522860">
      <w:pPr>
        <w:pStyle w:val="ListParagraph"/>
        <w:numPr>
          <w:ilvl w:val="0"/>
          <w:numId w:val="10"/>
        </w:numPr>
        <w:spacing w:before="0"/>
        <w:ind w:left="714" w:hanging="357"/>
        <w:rPr>
          <w:lang w:eastAsia="ko-KR"/>
        </w:rPr>
      </w:pPr>
      <w:r>
        <w:rPr>
          <w:lang w:eastAsia="ko-KR"/>
        </w:rPr>
        <w:t>Credit</w:t>
      </w:r>
      <w:r w:rsidR="006845EB">
        <w:rPr>
          <w:lang w:eastAsia="ko-KR"/>
        </w:rPr>
        <w:t xml:space="preserve"> basics</w:t>
      </w:r>
    </w:p>
    <w:p w14:paraId="11AFF037" w14:textId="6D54743E" w:rsidR="001D63B0" w:rsidRPr="002D14C4" w:rsidRDefault="00AC4F8D" w:rsidP="002D14C4">
      <w:pPr>
        <w:pStyle w:val="Heading3"/>
      </w:pPr>
      <w:r w:rsidRPr="002D14C4">
        <w:t>Methods Employed by Existing Resources</w:t>
      </w:r>
    </w:p>
    <w:p w14:paraId="2D6EA232" w14:textId="359A645D" w:rsidR="0022083C" w:rsidRPr="0022083C" w:rsidRDefault="00715EA9" w:rsidP="0022083C">
      <w:pPr>
        <w:rPr>
          <w:lang w:eastAsia="ko-KR"/>
        </w:rPr>
      </w:pPr>
      <w:r>
        <w:rPr>
          <w:lang w:eastAsia="ko-KR"/>
        </w:rPr>
        <w:t>After review</w:t>
      </w:r>
      <w:r w:rsidR="0022083C">
        <w:rPr>
          <w:lang w:eastAsia="ko-KR"/>
        </w:rPr>
        <w:t xml:space="preserve"> of financial literacy education best practices, the following three primarily goals have been identified as relevant benchmarks for the methods that UBC employs. The </w:t>
      </w:r>
      <w:r>
        <w:rPr>
          <w:lang w:eastAsia="ko-KR"/>
        </w:rPr>
        <w:t>following</w:t>
      </w:r>
      <w:r w:rsidR="0022083C">
        <w:rPr>
          <w:lang w:eastAsia="ko-KR"/>
        </w:rPr>
        <w:t xml:space="preserve"> </w:t>
      </w:r>
      <w:r w:rsidR="00474F13">
        <w:rPr>
          <w:lang w:eastAsia="ko-KR"/>
        </w:rPr>
        <w:t>table</w:t>
      </w:r>
      <w:r w:rsidR="0022083C">
        <w:rPr>
          <w:lang w:eastAsia="ko-KR"/>
        </w:rPr>
        <w:t xml:space="preserve"> describes UBC’s progress at implementing the core facets of each primary goal. </w:t>
      </w:r>
    </w:p>
    <w:tbl>
      <w:tblPr>
        <w:tblStyle w:val="TableGrid"/>
        <w:tblW w:w="0" w:type="auto"/>
        <w:tblLook w:val="04A0" w:firstRow="1" w:lastRow="0" w:firstColumn="1" w:lastColumn="0" w:noHBand="0" w:noVBand="1"/>
      </w:tblPr>
      <w:tblGrid>
        <w:gridCol w:w="2405"/>
        <w:gridCol w:w="711"/>
        <w:gridCol w:w="2266"/>
        <w:gridCol w:w="851"/>
        <w:gridCol w:w="2267"/>
        <w:gridCol w:w="850"/>
      </w:tblGrid>
      <w:tr w:rsidR="009D615F" w14:paraId="132C1CFC" w14:textId="22E6788E" w:rsidTr="005A365E">
        <w:trPr>
          <w:trHeight w:val="333"/>
        </w:trPr>
        <w:tc>
          <w:tcPr>
            <w:tcW w:w="3116" w:type="dxa"/>
            <w:gridSpan w:val="2"/>
            <w:tcBorders>
              <w:top w:val="single" w:sz="12" w:space="0" w:color="auto"/>
              <w:left w:val="nil"/>
              <w:bottom w:val="dashSmallGap" w:sz="4" w:space="0" w:color="auto"/>
              <w:right w:val="nil"/>
            </w:tcBorders>
            <w:shd w:val="clear" w:color="auto" w:fill="auto"/>
            <w:vAlign w:val="center"/>
          </w:tcPr>
          <w:p w14:paraId="622048C8" w14:textId="6B1D3F5D" w:rsidR="009D615F" w:rsidRPr="00FB2946" w:rsidRDefault="009D615F" w:rsidP="00FB2946">
            <w:pPr>
              <w:spacing w:line="240" w:lineRule="auto"/>
              <w:jc w:val="center"/>
              <w:rPr>
                <w:sz w:val="19"/>
                <w:szCs w:val="19"/>
                <w:lang w:eastAsia="ko-KR"/>
              </w:rPr>
            </w:pPr>
            <w:r w:rsidRPr="00FB2946">
              <w:rPr>
                <w:sz w:val="19"/>
                <w:szCs w:val="19"/>
                <w:lang w:eastAsia="ko-KR"/>
              </w:rPr>
              <w:t>Clear, timely, customized Information</w:t>
            </w:r>
            <w:r w:rsidR="00461FCE">
              <w:rPr>
                <w:sz w:val="19"/>
                <w:szCs w:val="19"/>
                <w:lang w:eastAsia="ko-KR"/>
              </w:rPr>
              <w:t xml:space="preserve"> to inform Borrowing</w:t>
            </w:r>
          </w:p>
        </w:tc>
        <w:tc>
          <w:tcPr>
            <w:tcW w:w="3117" w:type="dxa"/>
            <w:gridSpan w:val="2"/>
            <w:tcBorders>
              <w:top w:val="single" w:sz="12" w:space="0" w:color="auto"/>
              <w:left w:val="nil"/>
              <w:bottom w:val="dashSmallGap" w:sz="4" w:space="0" w:color="auto"/>
              <w:right w:val="nil"/>
            </w:tcBorders>
            <w:shd w:val="clear" w:color="auto" w:fill="auto"/>
            <w:vAlign w:val="center"/>
          </w:tcPr>
          <w:p w14:paraId="6E717F43" w14:textId="50F8FEEC" w:rsidR="009D615F" w:rsidRPr="00FB2946" w:rsidRDefault="009D615F" w:rsidP="00FB2946">
            <w:pPr>
              <w:spacing w:line="240" w:lineRule="auto"/>
              <w:jc w:val="center"/>
              <w:rPr>
                <w:sz w:val="19"/>
                <w:szCs w:val="19"/>
                <w:lang w:eastAsia="ko-KR"/>
              </w:rPr>
            </w:pPr>
            <w:r w:rsidRPr="00FB2946">
              <w:rPr>
                <w:sz w:val="19"/>
                <w:szCs w:val="19"/>
                <w:lang w:eastAsia="ko-KR"/>
              </w:rPr>
              <w:t>Engaging Students in Financial Literacy Education</w:t>
            </w:r>
          </w:p>
        </w:tc>
        <w:tc>
          <w:tcPr>
            <w:tcW w:w="3117" w:type="dxa"/>
            <w:gridSpan w:val="2"/>
            <w:tcBorders>
              <w:top w:val="single" w:sz="12" w:space="0" w:color="auto"/>
              <w:left w:val="nil"/>
              <w:bottom w:val="dashSmallGap" w:sz="4" w:space="0" w:color="auto"/>
              <w:right w:val="nil"/>
            </w:tcBorders>
            <w:shd w:val="clear" w:color="auto" w:fill="auto"/>
            <w:vAlign w:val="center"/>
          </w:tcPr>
          <w:p w14:paraId="7EABADE2" w14:textId="0B23F072" w:rsidR="009D615F" w:rsidRPr="00FB2946" w:rsidRDefault="009D615F" w:rsidP="00FB2946">
            <w:pPr>
              <w:spacing w:line="240" w:lineRule="auto"/>
              <w:jc w:val="center"/>
              <w:rPr>
                <w:sz w:val="19"/>
                <w:szCs w:val="19"/>
                <w:lang w:eastAsia="ko-KR"/>
              </w:rPr>
            </w:pPr>
            <w:r w:rsidRPr="00FB2946">
              <w:rPr>
                <w:sz w:val="19"/>
                <w:szCs w:val="19"/>
                <w:lang w:eastAsia="ko-KR"/>
              </w:rPr>
              <w:t xml:space="preserve">Preparing Students to Meet Financial Obligations after </w:t>
            </w:r>
            <w:r w:rsidR="00FB2946">
              <w:rPr>
                <w:sz w:val="19"/>
                <w:szCs w:val="19"/>
                <w:lang w:eastAsia="ko-KR"/>
              </w:rPr>
              <w:t>Grad</w:t>
            </w:r>
          </w:p>
        </w:tc>
      </w:tr>
      <w:tr w:rsidR="005A365E" w14:paraId="5B282CBD" w14:textId="1B3AB030" w:rsidTr="009E6325">
        <w:trPr>
          <w:trHeight w:val="63"/>
        </w:trPr>
        <w:tc>
          <w:tcPr>
            <w:tcW w:w="2405" w:type="dxa"/>
            <w:tcBorders>
              <w:top w:val="dashSmallGap" w:sz="4" w:space="0" w:color="auto"/>
              <w:left w:val="nil"/>
              <w:bottom w:val="nil"/>
              <w:right w:val="nil"/>
            </w:tcBorders>
            <w:shd w:val="clear" w:color="auto" w:fill="D9E2F3" w:themeFill="accent1" w:themeFillTint="33"/>
            <w:vAlign w:val="center"/>
          </w:tcPr>
          <w:p w14:paraId="1E60BBE7" w14:textId="2B84E7A8" w:rsidR="006B64C6" w:rsidRPr="00461FCE" w:rsidRDefault="006B64C6" w:rsidP="006B64C6">
            <w:pPr>
              <w:spacing w:before="60" w:after="60" w:line="240" w:lineRule="auto"/>
              <w:jc w:val="center"/>
              <w:rPr>
                <w:sz w:val="18"/>
                <w:szCs w:val="18"/>
                <w:lang w:eastAsia="ko-KR"/>
              </w:rPr>
            </w:pPr>
            <w:r w:rsidRPr="00461FCE">
              <w:rPr>
                <w:sz w:val="18"/>
                <w:szCs w:val="18"/>
                <w:lang w:eastAsia="ko-KR"/>
              </w:rPr>
              <w:t>Task Example</w:t>
            </w:r>
          </w:p>
        </w:tc>
        <w:tc>
          <w:tcPr>
            <w:tcW w:w="711" w:type="dxa"/>
            <w:tcBorders>
              <w:top w:val="dashSmallGap" w:sz="4" w:space="0" w:color="auto"/>
              <w:left w:val="nil"/>
              <w:bottom w:val="nil"/>
              <w:right w:val="nil"/>
            </w:tcBorders>
            <w:shd w:val="clear" w:color="auto" w:fill="D5DCE4" w:themeFill="text2" w:themeFillTint="33"/>
            <w:vAlign w:val="center"/>
          </w:tcPr>
          <w:p w14:paraId="001543EB" w14:textId="2B0FE172" w:rsidR="006B64C6" w:rsidRPr="00461FCE" w:rsidRDefault="006B64C6" w:rsidP="006B64C6">
            <w:pPr>
              <w:spacing w:before="60" w:after="60" w:line="240" w:lineRule="auto"/>
              <w:jc w:val="center"/>
              <w:rPr>
                <w:sz w:val="18"/>
                <w:szCs w:val="18"/>
                <w:lang w:eastAsia="ko-KR"/>
              </w:rPr>
            </w:pPr>
            <w:r w:rsidRPr="00461FCE">
              <w:rPr>
                <w:sz w:val="18"/>
                <w:szCs w:val="18"/>
                <w:lang w:eastAsia="ko-KR"/>
              </w:rPr>
              <w:t>Met?</w:t>
            </w:r>
          </w:p>
        </w:tc>
        <w:tc>
          <w:tcPr>
            <w:tcW w:w="2266" w:type="dxa"/>
            <w:tcBorders>
              <w:top w:val="dashSmallGap" w:sz="4" w:space="0" w:color="auto"/>
              <w:left w:val="nil"/>
              <w:bottom w:val="nil"/>
              <w:right w:val="nil"/>
            </w:tcBorders>
            <w:shd w:val="clear" w:color="auto" w:fill="D9E2F3" w:themeFill="accent1" w:themeFillTint="33"/>
            <w:vAlign w:val="center"/>
          </w:tcPr>
          <w:p w14:paraId="4ADB4E49" w14:textId="28403DBB" w:rsidR="006B64C6" w:rsidRPr="00461FCE" w:rsidRDefault="006B64C6" w:rsidP="006B64C6">
            <w:pPr>
              <w:spacing w:before="60" w:after="60" w:line="240" w:lineRule="auto"/>
              <w:jc w:val="center"/>
              <w:rPr>
                <w:sz w:val="18"/>
                <w:szCs w:val="18"/>
                <w:lang w:eastAsia="ko-KR"/>
              </w:rPr>
            </w:pPr>
            <w:r w:rsidRPr="00461FCE">
              <w:rPr>
                <w:sz w:val="18"/>
                <w:szCs w:val="18"/>
                <w:lang w:eastAsia="ko-KR"/>
              </w:rPr>
              <w:t>Task Example</w:t>
            </w:r>
          </w:p>
        </w:tc>
        <w:tc>
          <w:tcPr>
            <w:tcW w:w="851" w:type="dxa"/>
            <w:tcBorders>
              <w:top w:val="dashSmallGap" w:sz="4" w:space="0" w:color="auto"/>
              <w:left w:val="nil"/>
              <w:bottom w:val="nil"/>
              <w:right w:val="nil"/>
            </w:tcBorders>
            <w:shd w:val="clear" w:color="auto" w:fill="D5DCE4" w:themeFill="text2" w:themeFillTint="33"/>
            <w:vAlign w:val="center"/>
          </w:tcPr>
          <w:p w14:paraId="5A571E09" w14:textId="59A96367" w:rsidR="006B64C6" w:rsidRPr="00461FCE" w:rsidRDefault="006B64C6" w:rsidP="006B64C6">
            <w:pPr>
              <w:spacing w:before="60" w:after="60" w:line="240" w:lineRule="auto"/>
              <w:jc w:val="center"/>
              <w:rPr>
                <w:sz w:val="18"/>
                <w:szCs w:val="18"/>
                <w:lang w:eastAsia="ko-KR"/>
              </w:rPr>
            </w:pPr>
            <w:r>
              <w:rPr>
                <w:sz w:val="18"/>
                <w:szCs w:val="18"/>
                <w:lang w:eastAsia="ko-KR"/>
              </w:rPr>
              <w:t xml:space="preserve">Met? </w:t>
            </w:r>
          </w:p>
        </w:tc>
        <w:tc>
          <w:tcPr>
            <w:tcW w:w="2267" w:type="dxa"/>
            <w:tcBorders>
              <w:top w:val="dashSmallGap" w:sz="4" w:space="0" w:color="auto"/>
              <w:left w:val="nil"/>
              <w:bottom w:val="nil"/>
              <w:right w:val="nil"/>
            </w:tcBorders>
            <w:shd w:val="clear" w:color="auto" w:fill="D9E2F3" w:themeFill="accent1" w:themeFillTint="33"/>
            <w:vAlign w:val="center"/>
          </w:tcPr>
          <w:p w14:paraId="58FBEAC1" w14:textId="75039A92" w:rsidR="006B64C6" w:rsidRPr="00461FCE" w:rsidRDefault="006B64C6" w:rsidP="006B64C6">
            <w:pPr>
              <w:spacing w:before="60" w:after="60" w:line="240" w:lineRule="auto"/>
              <w:jc w:val="center"/>
              <w:rPr>
                <w:sz w:val="18"/>
                <w:szCs w:val="18"/>
                <w:lang w:eastAsia="ko-KR"/>
              </w:rPr>
            </w:pPr>
            <w:r w:rsidRPr="00461FCE">
              <w:rPr>
                <w:sz w:val="18"/>
                <w:szCs w:val="18"/>
                <w:lang w:eastAsia="ko-KR"/>
              </w:rPr>
              <w:t>Task Example</w:t>
            </w:r>
          </w:p>
        </w:tc>
        <w:tc>
          <w:tcPr>
            <w:tcW w:w="850" w:type="dxa"/>
            <w:tcBorders>
              <w:top w:val="dashSmallGap" w:sz="4" w:space="0" w:color="auto"/>
              <w:left w:val="nil"/>
              <w:bottom w:val="nil"/>
              <w:right w:val="nil"/>
            </w:tcBorders>
            <w:shd w:val="clear" w:color="auto" w:fill="D5DCE4" w:themeFill="text2" w:themeFillTint="33"/>
            <w:vAlign w:val="center"/>
          </w:tcPr>
          <w:p w14:paraId="3585E94B" w14:textId="00F46AD3" w:rsidR="006B64C6" w:rsidRPr="00461FCE" w:rsidRDefault="006B64C6" w:rsidP="006B64C6">
            <w:pPr>
              <w:spacing w:before="60" w:after="60" w:line="240" w:lineRule="auto"/>
              <w:jc w:val="center"/>
              <w:rPr>
                <w:sz w:val="18"/>
                <w:szCs w:val="18"/>
                <w:lang w:eastAsia="ko-KR"/>
              </w:rPr>
            </w:pPr>
            <w:r>
              <w:rPr>
                <w:sz w:val="18"/>
                <w:szCs w:val="18"/>
                <w:lang w:eastAsia="ko-KR"/>
              </w:rPr>
              <w:t>Met?</w:t>
            </w:r>
          </w:p>
        </w:tc>
      </w:tr>
      <w:tr w:rsidR="006B64C6" w14:paraId="799C3D69" w14:textId="6D53C380" w:rsidTr="005A365E">
        <w:tc>
          <w:tcPr>
            <w:tcW w:w="2405" w:type="dxa"/>
            <w:tcBorders>
              <w:top w:val="nil"/>
              <w:left w:val="nil"/>
              <w:bottom w:val="nil"/>
              <w:right w:val="nil"/>
            </w:tcBorders>
            <w:vAlign w:val="center"/>
          </w:tcPr>
          <w:p w14:paraId="2F4936F6" w14:textId="647DA467" w:rsidR="006B64C6" w:rsidRPr="00461FCE" w:rsidRDefault="006B64C6" w:rsidP="006B64C6">
            <w:pPr>
              <w:spacing w:line="240" w:lineRule="auto"/>
              <w:jc w:val="center"/>
              <w:rPr>
                <w:sz w:val="18"/>
                <w:szCs w:val="18"/>
                <w:lang w:eastAsia="ko-KR"/>
              </w:rPr>
            </w:pPr>
            <w:r>
              <w:rPr>
                <w:sz w:val="18"/>
                <w:szCs w:val="18"/>
                <w:lang w:eastAsia="ko-KR"/>
              </w:rPr>
              <w:t>Highlight Details and Distinctions by Aid Type</w:t>
            </w:r>
          </w:p>
        </w:tc>
        <w:tc>
          <w:tcPr>
            <w:tcW w:w="711" w:type="dxa"/>
            <w:tcBorders>
              <w:top w:val="nil"/>
              <w:left w:val="nil"/>
              <w:bottom w:val="nil"/>
              <w:right w:val="nil"/>
            </w:tcBorders>
            <w:shd w:val="clear" w:color="auto" w:fill="C5E0B3" w:themeFill="accent6" w:themeFillTint="66"/>
            <w:vAlign w:val="center"/>
          </w:tcPr>
          <w:p w14:paraId="26CE4F37" w14:textId="0F1B5E57" w:rsidR="006B64C6" w:rsidRPr="00461FCE" w:rsidRDefault="0022083C" w:rsidP="006B64C6">
            <w:pPr>
              <w:spacing w:line="240" w:lineRule="auto"/>
              <w:jc w:val="center"/>
              <w:rPr>
                <w:sz w:val="18"/>
                <w:szCs w:val="18"/>
                <w:lang w:eastAsia="ko-KR"/>
              </w:rPr>
            </w:pPr>
            <w:r>
              <w:rPr>
                <w:sz w:val="18"/>
                <w:szCs w:val="18"/>
                <w:lang w:eastAsia="ko-KR"/>
              </w:rPr>
              <w:t>Y</w:t>
            </w:r>
          </w:p>
        </w:tc>
        <w:tc>
          <w:tcPr>
            <w:tcW w:w="2266" w:type="dxa"/>
            <w:tcBorders>
              <w:top w:val="nil"/>
              <w:left w:val="nil"/>
              <w:bottom w:val="nil"/>
              <w:right w:val="nil"/>
            </w:tcBorders>
            <w:vAlign w:val="center"/>
          </w:tcPr>
          <w:p w14:paraId="53C1AE45" w14:textId="41CD0D37" w:rsidR="006B64C6" w:rsidRPr="00461FCE" w:rsidRDefault="006B64C6" w:rsidP="006B64C6">
            <w:pPr>
              <w:spacing w:line="240" w:lineRule="auto"/>
              <w:jc w:val="center"/>
              <w:rPr>
                <w:sz w:val="18"/>
                <w:szCs w:val="18"/>
                <w:lang w:eastAsia="ko-KR"/>
              </w:rPr>
            </w:pPr>
            <w:r w:rsidRPr="00461FCE">
              <w:rPr>
                <w:sz w:val="18"/>
                <w:szCs w:val="18"/>
                <w:lang w:eastAsia="ko-KR"/>
              </w:rPr>
              <w:t>Mandatory Financial Literacy course</w:t>
            </w:r>
          </w:p>
        </w:tc>
        <w:tc>
          <w:tcPr>
            <w:tcW w:w="851" w:type="dxa"/>
            <w:tcBorders>
              <w:top w:val="nil"/>
              <w:left w:val="nil"/>
              <w:bottom w:val="nil"/>
              <w:right w:val="nil"/>
            </w:tcBorders>
            <w:shd w:val="clear" w:color="auto" w:fill="E87771"/>
            <w:vAlign w:val="center"/>
          </w:tcPr>
          <w:p w14:paraId="48477D3C" w14:textId="2167EF67" w:rsidR="006B64C6" w:rsidRPr="00461FCE" w:rsidRDefault="0022083C" w:rsidP="006B64C6">
            <w:pPr>
              <w:spacing w:line="240" w:lineRule="auto"/>
              <w:jc w:val="center"/>
              <w:rPr>
                <w:sz w:val="18"/>
                <w:szCs w:val="18"/>
                <w:lang w:eastAsia="ko-KR"/>
              </w:rPr>
            </w:pPr>
            <w:r>
              <w:rPr>
                <w:sz w:val="18"/>
                <w:szCs w:val="18"/>
                <w:lang w:eastAsia="ko-KR"/>
              </w:rPr>
              <w:t>N</w:t>
            </w:r>
          </w:p>
        </w:tc>
        <w:tc>
          <w:tcPr>
            <w:tcW w:w="2267" w:type="dxa"/>
            <w:tcBorders>
              <w:top w:val="nil"/>
              <w:left w:val="nil"/>
              <w:bottom w:val="nil"/>
              <w:right w:val="nil"/>
            </w:tcBorders>
            <w:vAlign w:val="center"/>
          </w:tcPr>
          <w:p w14:paraId="1C67EA78" w14:textId="41CD8AB9" w:rsidR="006B64C6" w:rsidRPr="00461FCE" w:rsidRDefault="006B64C6" w:rsidP="006B64C6">
            <w:pPr>
              <w:spacing w:line="240" w:lineRule="auto"/>
              <w:jc w:val="center"/>
              <w:rPr>
                <w:sz w:val="18"/>
                <w:szCs w:val="18"/>
                <w:lang w:eastAsia="ko-KR"/>
              </w:rPr>
            </w:pPr>
            <w:r>
              <w:rPr>
                <w:sz w:val="18"/>
                <w:szCs w:val="18"/>
                <w:lang w:eastAsia="ko-KR"/>
              </w:rPr>
              <w:t>Building a budget and Setting Repayment Goal</w:t>
            </w:r>
          </w:p>
        </w:tc>
        <w:tc>
          <w:tcPr>
            <w:tcW w:w="850" w:type="dxa"/>
            <w:tcBorders>
              <w:top w:val="nil"/>
              <w:left w:val="nil"/>
              <w:bottom w:val="nil"/>
              <w:right w:val="nil"/>
            </w:tcBorders>
            <w:shd w:val="clear" w:color="auto" w:fill="C5E0B3" w:themeFill="accent6" w:themeFillTint="66"/>
            <w:vAlign w:val="center"/>
          </w:tcPr>
          <w:p w14:paraId="417FFCDC" w14:textId="2B57F4D9" w:rsidR="006B64C6" w:rsidRPr="00461FCE" w:rsidRDefault="0022083C" w:rsidP="006B64C6">
            <w:pPr>
              <w:spacing w:line="240" w:lineRule="auto"/>
              <w:jc w:val="center"/>
              <w:rPr>
                <w:sz w:val="18"/>
                <w:szCs w:val="18"/>
                <w:lang w:eastAsia="ko-KR"/>
              </w:rPr>
            </w:pPr>
            <w:r>
              <w:rPr>
                <w:sz w:val="18"/>
                <w:szCs w:val="18"/>
                <w:lang w:eastAsia="ko-KR"/>
              </w:rPr>
              <w:t>Y</w:t>
            </w:r>
          </w:p>
        </w:tc>
      </w:tr>
      <w:tr w:rsidR="006B64C6" w14:paraId="5B07A40F" w14:textId="77777777" w:rsidTr="005A365E">
        <w:tc>
          <w:tcPr>
            <w:tcW w:w="2405" w:type="dxa"/>
            <w:tcBorders>
              <w:top w:val="nil"/>
              <w:left w:val="nil"/>
              <w:bottom w:val="nil"/>
              <w:right w:val="nil"/>
            </w:tcBorders>
            <w:vAlign w:val="center"/>
          </w:tcPr>
          <w:p w14:paraId="5E9E8FF6" w14:textId="5124D2DB" w:rsidR="006B64C6" w:rsidRPr="00461FCE" w:rsidRDefault="006B64C6" w:rsidP="006B64C6">
            <w:pPr>
              <w:spacing w:line="240" w:lineRule="auto"/>
              <w:jc w:val="center"/>
              <w:rPr>
                <w:sz w:val="18"/>
                <w:szCs w:val="18"/>
                <w:lang w:eastAsia="ko-KR"/>
              </w:rPr>
            </w:pPr>
            <w:r>
              <w:rPr>
                <w:sz w:val="18"/>
                <w:szCs w:val="18"/>
                <w:lang w:eastAsia="ko-KR"/>
              </w:rPr>
              <w:t>Calculate Cost &amp; Grants after Scholarships</w:t>
            </w:r>
          </w:p>
        </w:tc>
        <w:tc>
          <w:tcPr>
            <w:tcW w:w="711" w:type="dxa"/>
            <w:tcBorders>
              <w:top w:val="nil"/>
              <w:left w:val="nil"/>
              <w:bottom w:val="nil"/>
              <w:right w:val="nil"/>
            </w:tcBorders>
            <w:shd w:val="clear" w:color="auto" w:fill="C5E0B3" w:themeFill="accent6" w:themeFillTint="66"/>
            <w:vAlign w:val="center"/>
          </w:tcPr>
          <w:p w14:paraId="0405BF91" w14:textId="5B632E12" w:rsidR="006B64C6" w:rsidRPr="00461FCE" w:rsidRDefault="0022083C" w:rsidP="006B64C6">
            <w:pPr>
              <w:spacing w:line="240" w:lineRule="auto"/>
              <w:jc w:val="center"/>
              <w:rPr>
                <w:sz w:val="18"/>
                <w:szCs w:val="18"/>
                <w:lang w:eastAsia="ko-KR"/>
              </w:rPr>
            </w:pPr>
            <w:r>
              <w:rPr>
                <w:sz w:val="18"/>
                <w:szCs w:val="18"/>
                <w:lang w:eastAsia="ko-KR"/>
              </w:rPr>
              <w:t>Y</w:t>
            </w:r>
          </w:p>
        </w:tc>
        <w:tc>
          <w:tcPr>
            <w:tcW w:w="2266" w:type="dxa"/>
            <w:tcBorders>
              <w:top w:val="nil"/>
              <w:left w:val="nil"/>
              <w:bottom w:val="nil"/>
              <w:right w:val="nil"/>
            </w:tcBorders>
            <w:vAlign w:val="center"/>
          </w:tcPr>
          <w:p w14:paraId="6B92C011" w14:textId="2517E013" w:rsidR="006B64C6" w:rsidRPr="00461FCE" w:rsidRDefault="006B64C6" w:rsidP="006B64C6">
            <w:pPr>
              <w:spacing w:line="240" w:lineRule="auto"/>
              <w:jc w:val="center"/>
              <w:rPr>
                <w:sz w:val="18"/>
                <w:szCs w:val="18"/>
                <w:lang w:eastAsia="ko-KR"/>
              </w:rPr>
            </w:pPr>
            <w:r>
              <w:rPr>
                <w:sz w:val="18"/>
                <w:szCs w:val="18"/>
                <w:lang w:eastAsia="ko-KR"/>
              </w:rPr>
              <w:t>Use of Peer Educators</w:t>
            </w:r>
          </w:p>
        </w:tc>
        <w:tc>
          <w:tcPr>
            <w:tcW w:w="851" w:type="dxa"/>
            <w:tcBorders>
              <w:top w:val="nil"/>
              <w:left w:val="nil"/>
              <w:bottom w:val="nil"/>
              <w:right w:val="nil"/>
            </w:tcBorders>
            <w:shd w:val="clear" w:color="auto" w:fill="E87771"/>
            <w:vAlign w:val="center"/>
          </w:tcPr>
          <w:p w14:paraId="77DF3453" w14:textId="7660850F" w:rsidR="006B64C6" w:rsidRPr="00461FCE" w:rsidRDefault="0022083C" w:rsidP="006B64C6">
            <w:pPr>
              <w:spacing w:line="240" w:lineRule="auto"/>
              <w:jc w:val="center"/>
              <w:rPr>
                <w:sz w:val="18"/>
                <w:szCs w:val="18"/>
                <w:lang w:eastAsia="ko-KR"/>
              </w:rPr>
            </w:pPr>
            <w:r>
              <w:rPr>
                <w:sz w:val="18"/>
                <w:szCs w:val="18"/>
                <w:lang w:eastAsia="ko-KR"/>
              </w:rPr>
              <w:t>N</w:t>
            </w:r>
          </w:p>
        </w:tc>
        <w:tc>
          <w:tcPr>
            <w:tcW w:w="2267" w:type="dxa"/>
            <w:tcBorders>
              <w:top w:val="nil"/>
              <w:left w:val="nil"/>
              <w:bottom w:val="nil"/>
              <w:right w:val="nil"/>
            </w:tcBorders>
            <w:vAlign w:val="center"/>
          </w:tcPr>
          <w:p w14:paraId="48E74093" w14:textId="076DCBD0" w:rsidR="006B64C6" w:rsidRPr="00461FCE" w:rsidRDefault="006B64C6" w:rsidP="006B64C6">
            <w:pPr>
              <w:spacing w:line="240" w:lineRule="auto"/>
              <w:jc w:val="center"/>
              <w:rPr>
                <w:sz w:val="18"/>
                <w:szCs w:val="18"/>
                <w:lang w:eastAsia="ko-KR"/>
              </w:rPr>
            </w:pPr>
            <w:r>
              <w:rPr>
                <w:sz w:val="18"/>
                <w:szCs w:val="18"/>
                <w:lang w:eastAsia="ko-KR"/>
              </w:rPr>
              <w:t>Assess Costs &amp; Benefits of Grad Studies</w:t>
            </w:r>
          </w:p>
        </w:tc>
        <w:tc>
          <w:tcPr>
            <w:tcW w:w="850" w:type="dxa"/>
            <w:tcBorders>
              <w:top w:val="nil"/>
              <w:left w:val="nil"/>
              <w:bottom w:val="nil"/>
              <w:right w:val="nil"/>
            </w:tcBorders>
            <w:shd w:val="clear" w:color="auto" w:fill="E87771"/>
            <w:vAlign w:val="center"/>
          </w:tcPr>
          <w:p w14:paraId="6AA51AF2" w14:textId="6858E5AC" w:rsidR="006B64C6" w:rsidRPr="00461FCE" w:rsidRDefault="0022083C" w:rsidP="006B64C6">
            <w:pPr>
              <w:spacing w:line="240" w:lineRule="auto"/>
              <w:jc w:val="center"/>
              <w:rPr>
                <w:sz w:val="18"/>
                <w:szCs w:val="18"/>
                <w:lang w:eastAsia="ko-KR"/>
              </w:rPr>
            </w:pPr>
            <w:r>
              <w:rPr>
                <w:sz w:val="18"/>
                <w:szCs w:val="18"/>
                <w:lang w:eastAsia="ko-KR"/>
              </w:rPr>
              <w:t>N</w:t>
            </w:r>
          </w:p>
        </w:tc>
      </w:tr>
      <w:tr w:rsidR="006B64C6" w14:paraId="64AEE810" w14:textId="77777777" w:rsidTr="005A365E">
        <w:tc>
          <w:tcPr>
            <w:tcW w:w="2405" w:type="dxa"/>
            <w:tcBorders>
              <w:top w:val="nil"/>
              <w:left w:val="nil"/>
              <w:bottom w:val="nil"/>
              <w:right w:val="nil"/>
            </w:tcBorders>
            <w:vAlign w:val="center"/>
          </w:tcPr>
          <w:p w14:paraId="1D301AD1" w14:textId="642B197C" w:rsidR="006B64C6" w:rsidRPr="00461FCE" w:rsidRDefault="006B64C6" w:rsidP="006B64C6">
            <w:pPr>
              <w:spacing w:line="240" w:lineRule="auto"/>
              <w:jc w:val="center"/>
              <w:rPr>
                <w:sz w:val="18"/>
                <w:szCs w:val="18"/>
                <w:lang w:eastAsia="ko-KR"/>
              </w:rPr>
            </w:pPr>
            <w:r>
              <w:rPr>
                <w:sz w:val="18"/>
                <w:szCs w:val="18"/>
                <w:lang w:eastAsia="ko-KR"/>
              </w:rPr>
              <w:t>Provide Actionable Next Steps</w:t>
            </w:r>
          </w:p>
        </w:tc>
        <w:tc>
          <w:tcPr>
            <w:tcW w:w="711" w:type="dxa"/>
            <w:tcBorders>
              <w:top w:val="nil"/>
              <w:left w:val="nil"/>
              <w:bottom w:val="nil"/>
              <w:right w:val="nil"/>
            </w:tcBorders>
            <w:shd w:val="clear" w:color="auto" w:fill="C5E0B3" w:themeFill="accent6" w:themeFillTint="66"/>
            <w:vAlign w:val="center"/>
          </w:tcPr>
          <w:p w14:paraId="598196DF" w14:textId="27FED5E5" w:rsidR="006B64C6" w:rsidRPr="00461FCE" w:rsidRDefault="0022083C" w:rsidP="006B64C6">
            <w:pPr>
              <w:spacing w:line="240" w:lineRule="auto"/>
              <w:jc w:val="center"/>
              <w:rPr>
                <w:sz w:val="18"/>
                <w:szCs w:val="18"/>
                <w:lang w:eastAsia="ko-KR"/>
              </w:rPr>
            </w:pPr>
            <w:r>
              <w:rPr>
                <w:sz w:val="18"/>
                <w:szCs w:val="18"/>
                <w:lang w:eastAsia="ko-KR"/>
              </w:rPr>
              <w:t>Y</w:t>
            </w:r>
          </w:p>
        </w:tc>
        <w:tc>
          <w:tcPr>
            <w:tcW w:w="2266" w:type="dxa"/>
            <w:tcBorders>
              <w:top w:val="nil"/>
              <w:left w:val="nil"/>
              <w:bottom w:val="nil"/>
              <w:right w:val="nil"/>
            </w:tcBorders>
            <w:vAlign w:val="center"/>
          </w:tcPr>
          <w:p w14:paraId="5B85C5C6" w14:textId="1C26F917" w:rsidR="006B64C6" w:rsidRDefault="006B64C6" w:rsidP="006B64C6">
            <w:pPr>
              <w:spacing w:line="240" w:lineRule="auto"/>
              <w:jc w:val="center"/>
              <w:rPr>
                <w:sz w:val="18"/>
                <w:szCs w:val="18"/>
                <w:lang w:eastAsia="ko-KR"/>
              </w:rPr>
            </w:pPr>
            <w:r>
              <w:rPr>
                <w:sz w:val="18"/>
                <w:szCs w:val="18"/>
                <w:lang w:eastAsia="ko-KR"/>
              </w:rPr>
              <w:t>Integration of Financial Literacy to Curricula</w:t>
            </w:r>
          </w:p>
        </w:tc>
        <w:tc>
          <w:tcPr>
            <w:tcW w:w="851" w:type="dxa"/>
            <w:tcBorders>
              <w:top w:val="nil"/>
              <w:left w:val="nil"/>
              <w:bottom w:val="nil"/>
              <w:right w:val="nil"/>
            </w:tcBorders>
            <w:shd w:val="clear" w:color="auto" w:fill="E87771"/>
            <w:vAlign w:val="center"/>
          </w:tcPr>
          <w:p w14:paraId="360111D3" w14:textId="6FDD8C9A" w:rsidR="006B64C6" w:rsidRPr="00461FCE" w:rsidRDefault="0022083C" w:rsidP="006B64C6">
            <w:pPr>
              <w:spacing w:line="240" w:lineRule="auto"/>
              <w:jc w:val="center"/>
              <w:rPr>
                <w:sz w:val="18"/>
                <w:szCs w:val="18"/>
                <w:lang w:eastAsia="ko-KR"/>
              </w:rPr>
            </w:pPr>
            <w:r>
              <w:rPr>
                <w:sz w:val="18"/>
                <w:szCs w:val="18"/>
                <w:lang w:eastAsia="ko-KR"/>
              </w:rPr>
              <w:t>N</w:t>
            </w:r>
          </w:p>
        </w:tc>
        <w:tc>
          <w:tcPr>
            <w:tcW w:w="2267" w:type="dxa"/>
            <w:tcBorders>
              <w:top w:val="nil"/>
              <w:left w:val="nil"/>
              <w:bottom w:val="nil"/>
              <w:right w:val="nil"/>
            </w:tcBorders>
            <w:vAlign w:val="center"/>
          </w:tcPr>
          <w:p w14:paraId="62159DC6" w14:textId="77777777" w:rsidR="006B64C6" w:rsidRPr="00461FCE" w:rsidRDefault="006B64C6" w:rsidP="006B64C6">
            <w:pPr>
              <w:spacing w:line="240" w:lineRule="auto"/>
              <w:jc w:val="center"/>
              <w:rPr>
                <w:sz w:val="18"/>
                <w:szCs w:val="18"/>
                <w:lang w:eastAsia="ko-KR"/>
              </w:rPr>
            </w:pPr>
          </w:p>
        </w:tc>
        <w:tc>
          <w:tcPr>
            <w:tcW w:w="850" w:type="dxa"/>
            <w:tcBorders>
              <w:top w:val="nil"/>
              <w:left w:val="nil"/>
              <w:bottom w:val="nil"/>
              <w:right w:val="nil"/>
            </w:tcBorders>
            <w:vAlign w:val="center"/>
          </w:tcPr>
          <w:p w14:paraId="725291C3" w14:textId="77777777" w:rsidR="006B64C6" w:rsidRPr="00461FCE" w:rsidRDefault="006B64C6" w:rsidP="006B64C6">
            <w:pPr>
              <w:spacing w:line="240" w:lineRule="auto"/>
              <w:jc w:val="center"/>
              <w:rPr>
                <w:sz w:val="18"/>
                <w:szCs w:val="18"/>
                <w:lang w:eastAsia="ko-KR"/>
              </w:rPr>
            </w:pPr>
          </w:p>
        </w:tc>
      </w:tr>
    </w:tbl>
    <w:p w14:paraId="48901045" w14:textId="15F11095" w:rsidR="00937F9F" w:rsidRDefault="00937F9F" w:rsidP="00937F9F">
      <w:pPr>
        <w:pStyle w:val="Heading2"/>
      </w:pPr>
      <w:bookmarkStart w:id="21" w:name="_Toc98325344"/>
      <w:r>
        <w:lastRenderedPageBreak/>
        <w:t>Recommendations</w:t>
      </w:r>
      <w:bookmarkEnd w:id="21"/>
    </w:p>
    <w:p w14:paraId="6C28C3A9" w14:textId="13A973A4" w:rsidR="009D4841" w:rsidRDefault="009D4841" w:rsidP="006B64C6">
      <w:r>
        <w:t>Based on the findings from primary and secondary sources, and in accordance with the stated goal of improving the quality of financial literacy education at UBC, please consider the following recommendations</w:t>
      </w:r>
      <w:r w:rsidR="008A5C3F">
        <w:t xml:space="preserve">. </w:t>
      </w:r>
    </w:p>
    <w:p w14:paraId="577DE73F" w14:textId="16660AE7" w:rsidR="006B64C6" w:rsidRDefault="0063513A" w:rsidP="002A63A5">
      <w:pPr>
        <w:pStyle w:val="ListParagraph"/>
        <w:numPr>
          <w:ilvl w:val="0"/>
          <w:numId w:val="7"/>
        </w:numPr>
      </w:pPr>
      <w:r>
        <w:t>Ten hours of mandatory financial literacy coursework for 1</w:t>
      </w:r>
      <w:r w:rsidRPr="0063513A">
        <w:rPr>
          <w:vertAlign w:val="superscript"/>
        </w:rPr>
        <w:t>st</w:t>
      </w:r>
      <w:r>
        <w:t xml:space="preserve"> year undergraduate students</w:t>
      </w:r>
    </w:p>
    <w:p w14:paraId="60D7866E" w14:textId="3CF95A5F" w:rsidR="0063513A" w:rsidRDefault="0063513A" w:rsidP="002A63A5">
      <w:pPr>
        <w:pStyle w:val="ListParagraph"/>
        <w:numPr>
          <w:ilvl w:val="0"/>
          <w:numId w:val="7"/>
        </w:numPr>
      </w:pPr>
      <w:r>
        <w:t>Five hours of mandatory financial literacy coursework per year for undergraduate students in years 2 – 4</w:t>
      </w:r>
    </w:p>
    <w:p w14:paraId="27032CF7" w14:textId="6BAC13C6" w:rsidR="00573E35" w:rsidRDefault="00573E35" w:rsidP="002A63A5">
      <w:pPr>
        <w:pStyle w:val="ListParagraph"/>
        <w:numPr>
          <w:ilvl w:val="0"/>
          <w:numId w:val="7"/>
        </w:numPr>
      </w:pPr>
      <w:r>
        <w:t>Expansion of written financial literacy resources to include topics such as:</w:t>
      </w:r>
    </w:p>
    <w:p w14:paraId="573F4A7D" w14:textId="0FC0F9C2" w:rsidR="00573E35" w:rsidRDefault="00573E35" w:rsidP="002A63A5">
      <w:pPr>
        <w:pStyle w:val="ListParagraph"/>
        <w:numPr>
          <w:ilvl w:val="1"/>
          <w:numId w:val="7"/>
        </w:numPr>
      </w:pPr>
      <w:r>
        <w:t>Types of Investments</w:t>
      </w:r>
    </w:p>
    <w:p w14:paraId="793A34A8" w14:textId="767D5146" w:rsidR="00573E35" w:rsidRDefault="00573E35" w:rsidP="002A63A5">
      <w:pPr>
        <w:pStyle w:val="ListParagraph"/>
        <w:numPr>
          <w:ilvl w:val="1"/>
          <w:numId w:val="7"/>
        </w:numPr>
      </w:pPr>
      <w:r>
        <w:t>Fundamentals of Investing</w:t>
      </w:r>
    </w:p>
    <w:p w14:paraId="0D22F4CC" w14:textId="00CD5652" w:rsidR="00573E35" w:rsidRDefault="00573E35" w:rsidP="002A63A5">
      <w:pPr>
        <w:pStyle w:val="ListParagraph"/>
        <w:numPr>
          <w:ilvl w:val="1"/>
          <w:numId w:val="7"/>
        </w:numPr>
      </w:pPr>
      <w:r>
        <w:t>Risks of Investing</w:t>
      </w:r>
    </w:p>
    <w:p w14:paraId="60752AC7" w14:textId="490A6EAD" w:rsidR="00690F85" w:rsidRDefault="00690F85" w:rsidP="002A63A5">
      <w:pPr>
        <w:pStyle w:val="ListParagraph"/>
        <w:numPr>
          <w:ilvl w:val="1"/>
          <w:numId w:val="7"/>
        </w:numPr>
      </w:pPr>
      <w:r>
        <w:t>Evaluating an investment</w:t>
      </w:r>
    </w:p>
    <w:p w14:paraId="39199BC6" w14:textId="22554801" w:rsidR="00043D91" w:rsidRDefault="00573E35" w:rsidP="002A63A5">
      <w:pPr>
        <w:pStyle w:val="ListParagraph"/>
        <w:numPr>
          <w:ilvl w:val="0"/>
          <w:numId w:val="7"/>
        </w:numPr>
      </w:pPr>
      <w:r>
        <w:t xml:space="preserve">Student-authored bi-weekly or monthly financial </w:t>
      </w:r>
      <w:r w:rsidR="002A63A5">
        <w:t>blogs</w:t>
      </w:r>
    </w:p>
    <w:p w14:paraId="3A6C4B28" w14:textId="0DF8E003" w:rsidR="0063513A" w:rsidRDefault="0063513A" w:rsidP="002A63A5">
      <w:pPr>
        <w:pStyle w:val="ListParagraph"/>
        <w:numPr>
          <w:ilvl w:val="0"/>
          <w:numId w:val="7"/>
        </w:numPr>
      </w:pPr>
      <w:r>
        <w:t>Development of standalone website to improve access and organization of new and existing financial literacy resources</w:t>
      </w:r>
    </w:p>
    <w:p w14:paraId="3D6F986B" w14:textId="02AC9F43" w:rsidR="00163CCC" w:rsidRPr="00163CCC" w:rsidRDefault="00163CCC" w:rsidP="00163CCC">
      <w:pPr>
        <w:pStyle w:val="Heading3"/>
      </w:pPr>
      <w:r>
        <w:t>Resultant Financial Literacy Education Resource Offering</w:t>
      </w:r>
    </w:p>
    <w:tbl>
      <w:tblPr>
        <w:tblStyle w:val="TableGrid"/>
        <w:tblW w:w="0" w:type="auto"/>
        <w:tblLook w:val="04A0" w:firstRow="1" w:lastRow="0" w:firstColumn="1" w:lastColumn="0" w:noHBand="0" w:noVBand="1"/>
      </w:tblPr>
      <w:tblGrid>
        <w:gridCol w:w="2405"/>
        <w:gridCol w:w="711"/>
        <w:gridCol w:w="2266"/>
        <w:gridCol w:w="851"/>
        <w:gridCol w:w="2267"/>
        <w:gridCol w:w="850"/>
      </w:tblGrid>
      <w:tr w:rsidR="00163CCC" w:rsidRPr="00FB2946" w14:paraId="09926D0F" w14:textId="77777777" w:rsidTr="002068F6">
        <w:trPr>
          <w:trHeight w:val="333"/>
        </w:trPr>
        <w:tc>
          <w:tcPr>
            <w:tcW w:w="3116" w:type="dxa"/>
            <w:gridSpan w:val="2"/>
            <w:tcBorders>
              <w:top w:val="single" w:sz="12" w:space="0" w:color="auto"/>
              <w:left w:val="nil"/>
              <w:bottom w:val="dashSmallGap" w:sz="4" w:space="0" w:color="auto"/>
              <w:right w:val="nil"/>
            </w:tcBorders>
            <w:shd w:val="clear" w:color="auto" w:fill="auto"/>
            <w:vAlign w:val="center"/>
          </w:tcPr>
          <w:p w14:paraId="3D434107" w14:textId="77777777" w:rsidR="00163CCC" w:rsidRPr="00FB2946" w:rsidRDefault="00163CCC" w:rsidP="002068F6">
            <w:pPr>
              <w:spacing w:line="240" w:lineRule="auto"/>
              <w:jc w:val="center"/>
              <w:rPr>
                <w:sz w:val="19"/>
                <w:szCs w:val="19"/>
                <w:lang w:eastAsia="ko-KR"/>
              </w:rPr>
            </w:pPr>
            <w:r w:rsidRPr="00FB2946">
              <w:rPr>
                <w:sz w:val="19"/>
                <w:szCs w:val="19"/>
                <w:lang w:eastAsia="ko-KR"/>
              </w:rPr>
              <w:t>Clear, timely, customized Information</w:t>
            </w:r>
            <w:r>
              <w:rPr>
                <w:sz w:val="19"/>
                <w:szCs w:val="19"/>
                <w:lang w:eastAsia="ko-KR"/>
              </w:rPr>
              <w:t xml:space="preserve"> to inform Borrowing</w:t>
            </w:r>
          </w:p>
        </w:tc>
        <w:tc>
          <w:tcPr>
            <w:tcW w:w="3117" w:type="dxa"/>
            <w:gridSpan w:val="2"/>
            <w:tcBorders>
              <w:top w:val="single" w:sz="12" w:space="0" w:color="auto"/>
              <w:left w:val="nil"/>
              <w:bottom w:val="dashSmallGap" w:sz="4" w:space="0" w:color="auto"/>
              <w:right w:val="nil"/>
            </w:tcBorders>
            <w:shd w:val="clear" w:color="auto" w:fill="auto"/>
            <w:vAlign w:val="center"/>
          </w:tcPr>
          <w:p w14:paraId="582288B3" w14:textId="77777777" w:rsidR="00163CCC" w:rsidRPr="00FB2946" w:rsidRDefault="00163CCC" w:rsidP="002068F6">
            <w:pPr>
              <w:spacing w:line="240" w:lineRule="auto"/>
              <w:jc w:val="center"/>
              <w:rPr>
                <w:sz w:val="19"/>
                <w:szCs w:val="19"/>
                <w:lang w:eastAsia="ko-KR"/>
              </w:rPr>
            </w:pPr>
            <w:r w:rsidRPr="00FB2946">
              <w:rPr>
                <w:sz w:val="19"/>
                <w:szCs w:val="19"/>
                <w:lang w:eastAsia="ko-KR"/>
              </w:rPr>
              <w:t>Engaging Students in Financial Literacy Education</w:t>
            </w:r>
          </w:p>
        </w:tc>
        <w:tc>
          <w:tcPr>
            <w:tcW w:w="3117" w:type="dxa"/>
            <w:gridSpan w:val="2"/>
            <w:tcBorders>
              <w:top w:val="single" w:sz="12" w:space="0" w:color="auto"/>
              <w:left w:val="nil"/>
              <w:bottom w:val="dashSmallGap" w:sz="4" w:space="0" w:color="auto"/>
              <w:right w:val="nil"/>
            </w:tcBorders>
            <w:shd w:val="clear" w:color="auto" w:fill="auto"/>
            <w:vAlign w:val="center"/>
          </w:tcPr>
          <w:p w14:paraId="3FE32F17" w14:textId="77777777" w:rsidR="00163CCC" w:rsidRPr="00FB2946" w:rsidRDefault="00163CCC" w:rsidP="002068F6">
            <w:pPr>
              <w:spacing w:line="240" w:lineRule="auto"/>
              <w:jc w:val="center"/>
              <w:rPr>
                <w:sz w:val="19"/>
                <w:szCs w:val="19"/>
                <w:lang w:eastAsia="ko-KR"/>
              </w:rPr>
            </w:pPr>
            <w:r w:rsidRPr="00FB2946">
              <w:rPr>
                <w:sz w:val="19"/>
                <w:szCs w:val="19"/>
                <w:lang w:eastAsia="ko-KR"/>
              </w:rPr>
              <w:t xml:space="preserve">Preparing Students to Meet Financial Obligations after </w:t>
            </w:r>
            <w:r>
              <w:rPr>
                <w:sz w:val="19"/>
                <w:szCs w:val="19"/>
                <w:lang w:eastAsia="ko-KR"/>
              </w:rPr>
              <w:t>Grad</w:t>
            </w:r>
          </w:p>
        </w:tc>
      </w:tr>
      <w:tr w:rsidR="00163CCC" w:rsidRPr="00461FCE" w14:paraId="476FD0B4" w14:textId="77777777" w:rsidTr="002068F6">
        <w:trPr>
          <w:gridAfter w:val="1"/>
          <w:wAfter w:w="850" w:type="dxa"/>
          <w:trHeight w:val="63"/>
        </w:trPr>
        <w:tc>
          <w:tcPr>
            <w:tcW w:w="2405" w:type="dxa"/>
            <w:tcBorders>
              <w:top w:val="dashSmallGap" w:sz="4" w:space="0" w:color="auto"/>
              <w:left w:val="nil"/>
              <w:bottom w:val="nil"/>
              <w:right w:val="nil"/>
            </w:tcBorders>
            <w:shd w:val="clear" w:color="auto" w:fill="D9E2F3" w:themeFill="accent1" w:themeFillTint="33"/>
            <w:vAlign w:val="center"/>
          </w:tcPr>
          <w:p w14:paraId="516E9AE9" w14:textId="77777777" w:rsidR="00163CCC" w:rsidRPr="00461FCE" w:rsidRDefault="00163CCC" w:rsidP="002068F6">
            <w:pPr>
              <w:spacing w:before="60" w:after="60" w:line="240" w:lineRule="auto"/>
              <w:jc w:val="center"/>
              <w:rPr>
                <w:sz w:val="18"/>
                <w:szCs w:val="18"/>
                <w:lang w:eastAsia="ko-KR"/>
              </w:rPr>
            </w:pPr>
            <w:r w:rsidRPr="00461FCE">
              <w:rPr>
                <w:sz w:val="18"/>
                <w:szCs w:val="18"/>
                <w:lang w:eastAsia="ko-KR"/>
              </w:rPr>
              <w:t>Task Example</w:t>
            </w:r>
          </w:p>
        </w:tc>
        <w:tc>
          <w:tcPr>
            <w:tcW w:w="711" w:type="dxa"/>
            <w:tcBorders>
              <w:top w:val="dashSmallGap" w:sz="4" w:space="0" w:color="auto"/>
              <w:left w:val="nil"/>
              <w:bottom w:val="nil"/>
              <w:right w:val="nil"/>
            </w:tcBorders>
            <w:shd w:val="clear" w:color="auto" w:fill="D5DCE4" w:themeFill="text2" w:themeFillTint="33"/>
            <w:vAlign w:val="center"/>
          </w:tcPr>
          <w:p w14:paraId="1B39BAE8" w14:textId="77777777" w:rsidR="00163CCC" w:rsidRPr="00461FCE" w:rsidRDefault="00163CCC" w:rsidP="002068F6">
            <w:pPr>
              <w:spacing w:before="60" w:after="60" w:line="240" w:lineRule="auto"/>
              <w:jc w:val="center"/>
              <w:rPr>
                <w:sz w:val="18"/>
                <w:szCs w:val="18"/>
                <w:lang w:eastAsia="ko-KR"/>
              </w:rPr>
            </w:pPr>
            <w:r w:rsidRPr="00461FCE">
              <w:rPr>
                <w:sz w:val="18"/>
                <w:szCs w:val="18"/>
                <w:lang w:eastAsia="ko-KR"/>
              </w:rPr>
              <w:t>Met?</w:t>
            </w:r>
          </w:p>
        </w:tc>
        <w:tc>
          <w:tcPr>
            <w:tcW w:w="2266" w:type="dxa"/>
            <w:tcBorders>
              <w:top w:val="dashSmallGap" w:sz="4" w:space="0" w:color="auto"/>
              <w:left w:val="nil"/>
              <w:bottom w:val="nil"/>
              <w:right w:val="nil"/>
            </w:tcBorders>
            <w:shd w:val="clear" w:color="auto" w:fill="D9E2F3" w:themeFill="accent1" w:themeFillTint="33"/>
            <w:vAlign w:val="center"/>
          </w:tcPr>
          <w:p w14:paraId="10C41D17" w14:textId="77777777" w:rsidR="00163CCC" w:rsidRPr="00461FCE" w:rsidRDefault="00163CCC" w:rsidP="002068F6">
            <w:pPr>
              <w:spacing w:before="60" w:after="60" w:line="240" w:lineRule="auto"/>
              <w:jc w:val="center"/>
              <w:rPr>
                <w:sz w:val="18"/>
                <w:szCs w:val="18"/>
                <w:lang w:eastAsia="ko-KR"/>
              </w:rPr>
            </w:pPr>
            <w:r w:rsidRPr="00461FCE">
              <w:rPr>
                <w:sz w:val="18"/>
                <w:szCs w:val="18"/>
                <w:lang w:eastAsia="ko-KR"/>
              </w:rPr>
              <w:t>Task Example</w:t>
            </w:r>
          </w:p>
        </w:tc>
        <w:tc>
          <w:tcPr>
            <w:tcW w:w="851" w:type="dxa"/>
            <w:tcBorders>
              <w:top w:val="dashSmallGap" w:sz="4" w:space="0" w:color="auto"/>
              <w:left w:val="nil"/>
              <w:bottom w:val="nil"/>
              <w:right w:val="nil"/>
            </w:tcBorders>
            <w:shd w:val="clear" w:color="auto" w:fill="D5DCE4" w:themeFill="text2" w:themeFillTint="33"/>
            <w:vAlign w:val="center"/>
          </w:tcPr>
          <w:p w14:paraId="4E9CC7C8" w14:textId="77777777" w:rsidR="00163CCC" w:rsidRPr="00461FCE" w:rsidRDefault="00163CCC" w:rsidP="002068F6">
            <w:pPr>
              <w:spacing w:before="60" w:after="60" w:line="240" w:lineRule="auto"/>
              <w:jc w:val="center"/>
              <w:rPr>
                <w:sz w:val="18"/>
                <w:szCs w:val="18"/>
                <w:lang w:eastAsia="ko-KR"/>
              </w:rPr>
            </w:pPr>
            <w:r>
              <w:rPr>
                <w:sz w:val="18"/>
                <w:szCs w:val="18"/>
                <w:lang w:eastAsia="ko-KR"/>
              </w:rPr>
              <w:t xml:space="preserve">Met? </w:t>
            </w:r>
          </w:p>
        </w:tc>
        <w:tc>
          <w:tcPr>
            <w:tcW w:w="2267" w:type="dxa"/>
            <w:tcBorders>
              <w:top w:val="dashSmallGap" w:sz="4" w:space="0" w:color="auto"/>
              <w:left w:val="nil"/>
              <w:bottom w:val="nil"/>
              <w:right w:val="nil"/>
            </w:tcBorders>
            <w:shd w:val="clear" w:color="auto" w:fill="D9E2F3" w:themeFill="accent1" w:themeFillTint="33"/>
            <w:vAlign w:val="center"/>
          </w:tcPr>
          <w:p w14:paraId="6FA927FC" w14:textId="77777777" w:rsidR="00163CCC" w:rsidRPr="00461FCE" w:rsidRDefault="00163CCC" w:rsidP="002068F6">
            <w:pPr>
              <w:spacing w:before="60" w:after="60" w:line="240" w:lineRule="auto"/>
              <w:jc w:val="center"/>
              <w:rPr>
                <w:sz w:val="18"/>
                <w:szCs w:val="18"/>
                <w:lang w:eastAsia="ko-KR"/>
              </w:rPr>
            </w:pPr>
            <w:r w:rsidRPr="00461FCE">
              <w:rPr>
                <w:sz w:val="18"/>
                <w:szCs w:val="18"/>
                <w:lang w:eastAsia="ko-KR"/>
              </w:rPr>
              <w:t>Task Example</w:t>
            </w:r>
          </w:p>
        </w:tc>
      </w:tr>
      <w:tr w:rsidR="00163CCC" w:rsidRPr="00461FCE" w14:paraId="66C8E0DE" w14:textId="77777777" w:rsidTr="002068F6">
        <w:trPr>
          <w:gridAfter w:val="1"/>
          <w:wAfter w:w="850" w:type="dxa"/>
        </w:trPr>
        <w:tc>
          <w:tcPr>
            <w:tcW w:w="2405" w:type="dxa"/>
            <w:tcBorders>
              <w:top w:val="nil"/>
              <w:left w:val="nil"/>
              <w:bottom w:val="nil"/>
              <w:right w:val="nil"/>
            </w:tcBorders>
            <w:vAlign w:val="center"/>
          </w:tcPr>
          <w:p w14:paraId="27A6616F" w14:textId="77777777" w:rsidR="00163CCC" w:rsidRPr="00461FCE" w:rsidRDefault="00163CCC" w:rsidP="002068F6">
            <w:pPr>
              <w:spacing w:line="240" w:lineRule="auto"/>
              <w:jc w:val="center"/>
              <w:rPr>
                <w:sz w:val="18"/>
                <w:szCs w:val="18"/>
                <w:lang w:eastAsia="ko-KR"/>
              </w:rPr>
            </w:pPr>
            <w:r>
              <w:rPr>
                <w:sz w:val="18"/>
                <w:szCs w:val="18"/>
                <w:lang w:eastAsia="ko-KR"/>
              </w:rPr>
              <w:t>Highlight Details and Distinctions by Aid Type</w:t>
            </w:r>
          </w:p>
        </w:tc>
        <w:tc>
          <w:tcPr>
            <w:tcW w:w="711" w:type="dxa"/>
            <w:tcBorders>
              <w:top w:val="nil"/>
              <w:left w:val="nil"/>
              <w:bottom w:val="nil"/>
              <w:right w:val="nil"/>
            </w:tcBorders>
            <w:shd w:val="clear" w:color="auto" w:fill="C5E0B3" w:themeFill="accent6" w:themeFillTint="66"/>
            <w:vAlign w:val="center"/>
          </w:tcPr>
          <w:p w14:paraId="34F4A336" w14:textId="77777777" w:rsidR="00163CCC" w:rsidRPr="00461FCE" w:rsidRDefault="00163CCC" w:rsidP="002068F6">
            <w:pPr>
              <w:spacing w:line="240" w:lineRule="auto"/>
              <w:jc w:val="center"/>
              <w:rPr>
                <w:sz w:val="18"/>
                <w:szCs w:val="18"/>
                <w:lang w:eastAsia="ko-KR"/>
              </w:rPr>
            </w:pPr>
            <w:r>
              <w:rPr>
                <w:sz w:val="18"/>
                <w:szCs w:val="18"/>
                <w:lang w:eastAsia="ko-KR"/>
              </w:rPr>
              <w:t>Y</w:t>
            </w:r>
          </w:p>
        </w:tc>
        <w:tc>
          <w:tcPr>
            <w:tcW w:w="2266" w:type="dxa"/>
            <w:tcBorders>
              <w:top w:val="nil"/>
              <w:left w:val="nil"/>
              <w:bottom w:val="nil"/>
              <w:right w:val="nil"/>
            </w:tcBorders>
            <w:vAlign w:val="center"/>
          </w:tcPr>
          <w:p w14:paraId="282617D3" w14:textId="77777777" w:rsidR="00163CCC" w:rsidRPr="00461FCE" w:rsidRDefault="00163CCC" w:rsidP="002068F6">
            <w:pPr>
              <w:spacing w:line="240" w:lineRule="auto"/>
              <w:jc w:val="center"/>
              <w:rPr>
                <w:sz w:val="18"/>
                <w:szCs w:val="18"/>
                <w:lang w:eastAsia="ko-KR"/>
              </w:rPr>
            </w:pPr>
            <w:r w:rsidRPr="00461FCE">
              <w:rPr>
                <w:sz w:val="18"/>
                <w:szCs w:val="18"/>
                <w:lang w:eastAsia="ko-KR"/>
              </w:rPr>
              <w:t>Mandatory Financial Literacy course</w:t>
            </w:r>
          </w:p>
        </w:tc>
        <w:tc>
          <w:tcPr>
            <w:tcW w:w="851" w:type="dxa"/>
            <w:tcBorders>
              <w:top w:val="nil"/>
              <w:left w:val="nil"/>
              <w:bottom w:val="nil"/>
              <w:right w:val="nil"/>
            </w:tcBorders>
            <w:shd w:val="clear" w:color="auto" w:fill="E87771"/>
            <w:vAlign w:val="center"/>
          </w:tcPr>
          <w:p w14:paraId="586CBEE3" w14:textId="77777777" w:rsidR="00163CCC" w:rsidRPr="00461FCE" w:rsidRDefault="00163CCC" w:rsidP="002068F6">
            <w:pPr>
              <w:spacing w:line="240" w:lineRule="auto"/>
              <w:jc w:val="center"/>
              <w:rPr>
                <w:sz w:val="18"/>
                <w:szCs w:val="18"/>
                <w:lang w:eastAsia="ko-KR"/>
              </w:rPr>
            </w:pPr>
            <w:r>
              <w:rPr>
                <w:sz w:val="18"/>
                <w:szCs w:val="18"/>
                <w:lang w:eastAsia="ko-KR"/>
              </w:rPr>
              <w:t>N</w:t>
            </w:r>
          </w:p>
        </w:tc>
        <w:tc>
          <w:tcPr>
            <w:tcW w:w="2267" w:type="dxa"/>
            <w:tcBorders>
              <w:top w:val="nil"/>
              <w:left w:val="nil"/>
              <w:bottom w:val="nil"/>
              <w:right w:val="nil"/>
            </w:tcBorders>
            <w:vAlign w:val="center"/>
          </w:tcPr>
          <w:p w14:paraId="5EE3DE02" w14:textId="77777777" w:rsidR="00163CCC" w:rsidRPr="00461FCE" w:rsidRDefault="00163CCC" w:rsidP="002068F6">
            <w:pPr>
              <w:spacing w:line="240" w:lineRule="auto"/>
              <w:jc w:val="center"/>
              <w:rPr>
                <w:sz w:val="18"/>
                <w:szCs w:val="18"/>
                <w:lang w:eastAsia="ko-KR"/>
              </w:rPr>
            </w:pPr>
            <w:r>
              <w:rPr>
                <w:sz w:val="18"/>
                <w:szCs w:val="18"/>
                <w:lang w:eastAsia="ko-KR"/>
              </w:rPr>
              <w:t>Building a budget and Setting Repayment Goal</w:t>
            </w:r>
          </w:p>
        </w:tc>
      </w:tr>
      <w:tr w:rsidR="00163CCC" w:rsidRPr="00461FCE" w14:paraId="6837A627" w14:textId="77777777" w:rsidTr="002068F6">
        <w:trPr>
          <w:gridAfter w:val="1"/>
          <w:wAfter w:w="850" w:type="dxa"/>
        </w:trPr>
        <w:tc>
          <w:tcPr>
            <w:tcW w:w="2405" w:type="dxa"/>
            <w:tcBorders>
              <w:top w:val="nil"/>
              <w:left w:val="nil"/>
              <w:bottom w:val="nil"/>
              <w:right w:val="nil"/>
            </w:tcBorders>
            <w:vAlign w:val="center"/>
          </w:tcPr>
          <w:p w14:paraId="4367A54D" w14:textId="77777777" w:rsidR="00163CCC" w:rsidRPr="00461FCE" w:rsidRDefault="00163CCC" w:rsidP="002068F6">
            <w:pPr>
              <w:spacing w:line="240" w:lineRule="auto"/>
              <w:jc w:val="center"/>
              <w:rPr>
                <w:sz w:val="18"/>
                <w:szCs w:val="18"/>
                <w:lang w:eastAsia="ko-KR"/>
              </w:rPr>
            </w:pPr>
            <w:r>
              <w:rPr>
                <w:sz w:val="18"/>
                <w:szCs w:val="18"/>
                <w:lang w:eastAsia="ko-KR"/>
              </w:rPr>
              <w:t>Calculate Cost &amp; Grants after Scholarships</w:t>
            </w:r>
          </w:p>
        </w:tc>
        <w:tc>
          <w:tcPr>
            <w:tcW w:w="711" w:type="dxa"/>
            <w:tcBorders>
              <w:top w:val="nil"/>
              <w:left w:val="nil"/>
              <w:bottom w:val="nil"/>
              <w:right w:val="nil"/>
            </w:tcBorders>
            <w:shd w:val="clear" w:color="auto" w:fill="C5E0B3" w:themeFill="accent6" w:themeFillTint="66"/>
            <w:vAlign w:val="center"/>
          </w:tcPr>
          <w:p w14:paraId="7A3D5017" w14:textId="77777777" w:rsidR="00163CCC" w:rsidRPr="00461FCE" w:rsidRDefault="00163CCC" w:rsidP="002068F6">
            <w:pPr>
              <w:spacing w:line="240" w:lineRule="auto"/>
              <w:jc w:val="center"/>
              <w:rPr>
                <w:sz w:val="18"/>
                <w:szCs w:val="18"/>
                <w:lang w:eastAsia="ko-KR"/>
              </w:rPr>
            </w:pPr>
            <w:r>
              <w:rPr>
                <w:sz w:val="18"/>
                <w:szCs w:val="18"/>
                <w:lang w:eastAsia="ko-KR"/>
              </w:rPr>
              <w:t>Y</w:t>
            </w:r>
          </w:p>
        </w:tc>
        <w:tc>
          <w:tcPr>
            <w:tcW w:w="2266" w:type="dxa"/>
            <w:tcBorders>
              <w:top w:val="nil"/>
              <w:left w:val="nil"/>
              <w:bottom w:val="nil"/>
              <w:right w:val="nil"/>
            </w:tcBorders>
            <w:vAlign w:val="center"/>
          </w:tcPr>
          <w:p w14:paraId="1D366962" w14:textId="77777777" w:rsidR="00163CCC" w:rsidRPr="00461FCE" w:rsidRDefault="00163CCC" w:rsidP="002068F6">
            <w:pPr>
              <w:spacing w:line="240" w:lineRule="auto"/>
              <w:jc w:val="center"/>
              <w:rPr>
                <w:sz w:val="18"/>
                <w:szCs w:val="18"/>
                <w:lang w:eastAsia="ko-KR"/>
              </w:rPr>
            </w:pPr>
            <w:r>
              <w:rPr>
                <w:sz w:val="18"/>
                <w:szCs w:val="18"/>
                <w:lang w:eastAsia="ko-KR"/>
              </w:rPr>
              <w:t>Use of Peer Educators</w:t>
            </w:r>
          </w:p>
        </w:tc>
        <w:tc>
          <w:tcPr>
            <w:tcW w:w="851" w:type="dxa"/>
            <w:tcBorders>
              <w:top w:val="nil"/>
              <w:left w:val="nil"/>
              <w:bottom w:val="nil"/>
              <w:right w:val="nil"/>
            </w:tcBorders>
            <w:shd w:val="clear" w:color="auto" w:fill="E87771"/>
            <w:vAlign w:val="center"/>
          </w:tcPr>
          <w:p w14:paraId="4B75A526" w14:textId="77777777" w:rsidR="00163CCC" w:rsidRPr="00461FCE" w:rsidRDefault="00163CCC" w:rsidP="002068F6">
            <w:pPr>
              <w:spacing w:line="240" w:lineRule="auto"/>
              <w:jc w:val="center"/>
              <w:rPr>
                <w:sz w:val="18"/>
                <w:szCs w:val="18"/>
                <w:lang w:eastAsia="ko-KR"/>
              </w:rPr>
            </w:pPr>
            <w:r>
              <w:rPr>
                <w:sz w:val="18"/>
                <w:szCs w:val="18"/>
                <w:lang w:eastAsia="ko-KR"/>
              </w:rPr>
              <w:t>N</w:t>
            </w:r>
          </w:p>
        </w:tc>
        <w:tc>
          <w:tcPr>
            <w:tcW w:w="2267" w:type="dxa"/>
            <w:tcBorders>
              <w:top w:val="nil"/>
              <w:left w:val="nil"/>
              <w:bottom w:val="nil"/>
              <w:right w:val="nil"/>
            </w:tcBorders>
            <w:vAlign w:val="center"/>
          </w:tcPr>
          <w:p w14:paraId="7B4D86C1" w14:textId="77777777" w:rsidR="00163CCC" w:rsidRPr="00461FCE" w:rsidRDefault="00163CCC" w:rsidP="002068F6">
            <w:pPr>
              <w:spacing w:line="240" w:lineRule="auto"/>
              <w:jc w:val="center"/>
              <w:rPr>
                <w:sz w:val="18"/>
                <w:szCs w:val="18"/>
                <w:lang w:eastAsia="ko-KR"/>
              </w:rPr>
            </w:pPr>
            <w:r>
              <w:rPr>
                <w:sz w:val="18"/>
                <w:szCs w:val="18"/>
                <w:lang w:eastAsia="ko-KR"/>
              </w:rPr>
              <w:t>Assess Costs &amp; Benefits of Grad Studies</w:t>
            </w:r>
          </w:p>
        </w:tc>
      </w:tr>
      <w:tr w:rsidR="00163CCC" w:rsidRPr="00461FCE" w14:paraId="6C332F5B" w14:textId="77777777" w:rsidTr="002068F6">
        <w:trPr>
          <w:gridAfter w:val="1"/>
          <w:wAfter w:w="850" w:type="dxa"/>
        </w:trPr>
        <w:tc>
          <w:tcPr>
            <w:tcW w:w="2405" w:type="dxa"/>
            <w:tcBorders>
              <w:top w:val="nil"/>
              <w:left w:val="nil"/>
              <w:bottom w:val="nil"/>
              <w:right w:val="nil"/>
            </w:tcBorders>
            <w:vAlign w:val="center"/>
          </w:tcPr>
          <w:p w14:paraId="39EE12BD" w14:textId="77777777" w:rsidR="00163CCC" w:rsidRPr="00461FCE" w:rsidRDefault="00163CCC" w:rsidP="002068F6">
            <w:pPr>
              <w:spacing w:line="240" w:lineRule="auto"/>
              <w:jc w:val="center"/>
              <w:rPr>
                <w:sz w:val="18"/>
                <w:szCs w:val="18"/>
                <w:lang w:eastAsia="ko-KR"/>
              </w:rPr>
            </w:pPr>
            <w:r>
              <w:rPr>
                <w:sz w:val="18"/>
                <w:szCs w:val="18"/>
                <w:lang w:eastAsia="ko-KR"/>
              </w:rPr>
              <w:t>Provide Actionable Next Steps</w:t>
            </w:r>
          </w:p>
        </w:tc>
        <w:tc>
          <w:tcPr>
            <w:tcW w:w="711" w:type="dxa"/>
            <w:tcBorders>
              <w:top w:val="nil"/>
              <w:left w:val="nil"/>
              <w:bottom w:val="nil"/>
              <w:right w:val="nil"/>
            </w:tcBorders>
            <w:shd w:val="clear" w:color="auto" w:fill="C5E0B3" w:themeFill="accent6" w:themeFillTint="66"/>
            <w:vAlign w:val="center"/>
          </w:tcPr>
          <w:p w14:paraId="7D51BE10" w14:textId="77777777" w:rsidR="00163CCC" w:rsidRPr="00461FCE" w:rsidRDefault="00163CCC" w:rsidP="002068F6">
            <w:pPr>
              <w:spacing w:line="240" w:lineRule="auto"/>
              <w:jc w:val="center"/>
              <w:rPr>
                <w:sz w:val="18"/>
                <w:szCs w:val="18"/>
                <w:lang w:eastAsia="ko-KR"/>
              </w:rPr>
            </w:pPr>
            <w:r>
              <w:rPr>
                <w:sz w:val="18"/>
                <w:szCs w:val="18"/>
                <w:lang w:eastAsia="ko-KR"/>
              </w:rPr>
              <w:t>Y</w:t>
            </w:r>
          </w:p>
        </w:tc>
        <w:tc>
          <w:tcPr>
            <w:tcW w:w="2266" w:type="dxa"/>
            <w:tcBorders>
              <w:top w:val="nil"/>
              <w:left w:val="nil"/>
              <w:bottom w:val="nil"/>
              <w:right w:val="nil"/>
            </w:tcBorders>
            <w:vAlign w:val="center"/>
          </w:tcPr>
          <w:p w14:paraId="43F5711C" w14:textId="77777777" w:rsidR="00163CCC" w:rsidRDefault="00163CCC" w:rsidP="002068F6">
            <w:pPr>
              <w:spacing w:line="240" w:lineRule="auto"/>
              <w:jc w:val="center"/>
              <w:rPr>
                <w:sz w:val="18"/>
                <w:szCs w:val="18"/>
                <w:lang w:eastAsia="ko-KR"/>
              </w:rPr>
            </w:pPr>
            <w:r>
              <w:rPr>
                <w:sz w:val="18"/>
                <w:szCs w:val="18"/>
                <w:lang w:eastAsia="ko-KR"/>
              </w:rPr>
              <w:t>Integration of Financial Literacy to Curricula</w:t>
            </w:r>
          </w:p>
        </w:tc>
        <w:tc>
          <w:tcPr>
            <w:tcW w:w="851" w:type="dxa"/>
            <w:tcBorders>
              <w:top w:val="nil"/>
              <w:left w:val="nil"/>
              <w:bottom w:val="nil"/>
              <w:right w:val="nil"/>
            </w:tcBorders>
            <w:shd w:val="clear" w:color="auto" w:fill="E87771"/>
            <w:vAlign w:val="center"/>
          </w:tcPr>
          <w:p w14:paraId="3A011E68" w14:textId="77777777" w:rsidR="00163CCC" w:rsidRPr="00461FCE" w:rsidRDefault="00163CCC" w:rsidP="002068F6">
            <w:pPr>
              <w:spacing w:line="240" w:lineRule="auto"/>
              <w:jc w:val="center"/>
              <w:rPr>
                <w:sz w:val="18"/>
                <w:szCs w:val="18"/>
                <w:lang w:eastAsia="ko-KR"/>
              </w:rPr>
            </w:pPr>
            <w:r>
              <w:rPr>
                <w:sz w:val="18"/>
                <w:szCs w:val="18"/>
                <w:lang w:eastAsia="ko-KR"/>
              </w:rPr>
              <w:t>N</w:t>
            </w:r>
          </w:p>
        </w:tc>
        <w:tc>
          <w:tcPr>
            <w:tcW w:w="2267" w:type="dxa"/>
            <w:tcBorders>
              <w:top w:val="nil"/>
              <w:left w:val="nil"/>
              <w:bottom w:val="nil"/>
              <w:right w:val="nil"/>
            </w:tcBorders>
            <w:vAlign w:val="center"/>
          </w:tcPr>
          <w:p w14:paraId="57F85073" w14:textId="77777777" w:rsidR="00163CCC" w:rsidRPr="00461FCE" w:rsidRDefault="00163CCC" w:rsidP="002068F6">
            <w:pPr>
              <w:spacing w:line="240" w:lineRule="auto"/>
              <w:jc w:val="center"/>
              <w:rPr>
                <w:sz w:val="18"/>
                <w:szCs w:val="18"/>
                <w:lang w:eastAsia="ko-KR"/>
              </w:rPr>
            </w:pPr>
          </w:p>
        </w:tc>
      </w:tr>
    </w:tbl>
    <w:p w14:paraId="548B546B" w14:textId="77777777" w:rsidR="00715EA9" w:rsidRPr="00715EA9" w:rsidRDefault="00715EA9" w:rsidP="00715EA9">
      <w:pPr>
        <w:rPr>
          <w:lang w:eastAsia="ko-KR"/>
        </w:rPr>
      </w:pPr>
    </w:p>
    <w:p w14:paraId="7004ACEB" w14:textId="37EA9E0D" w:rsidR="00715EA9" w:rsidRDefault="00715EA9">
      <w:pPr>
        <w:spacing w:before="0" w:after="0" w:line="240" w:lineRule="auto"/>
        <w:rPr>
          <w:lang w:eastAsia="ko-KR"/>
        </w:rPr>
      </w:pPr>
      <w:r>
        <w:rPr>
          <w:lang w:eastAsia="ko-KR"/>
        </w:rPr>
        <w:br w:type="page"/>
      </w:r>
    </w:p>
    <w:p w14:paraId="3EBE1DE2" w14:textId="252CBBAC" w:rsidR="009D4841" w:rsidRDefault="003639B1" w:rsidP="003639B1">
      <w:pPr>
        <w:pStyle w:val="Heading1"/>
        <w:rPr>
          <w:lang w:eastAsia="ko-KR"/>
        </w:rPr>
      </w:pPr>
      <w:r>
        <w:rPr>
          <w:lang w:eastAsia="ko-KR"/>
        </w:rPr>
        <w:lastRenderedPageBreak/>
        <w:t>Appendix</w:t>
      </w:r>
    </w:p>
    <w:p w14:paraId="402874CD" w14:textId="6B15A29A" w:rsidR="003639B1" w:rsidRDefault="003639B1" w:rsidP="003639B1">
      <w:pPr>
        <w:rPr>
          <w:lang w:eastAsia="ko-KR"/>
        </w:rPr>
      </w:pPr>
    </w:p>
    <w:p w14:paraId="380BEEBF" w14:textId="3CD2F884" w:rsidR="003639B1" w:rsidRDefault="003639B1">
      <w:pPr>
        <w:spacing w:before="0" w:after="0" w:line="240" w:lineRule="auto"/>
        <w:rPr>
          <w:lang w:eastAsia="ko-KR"/>
        </w:rPr>
      </w:pPr>
      <w:r>
        <w:rPr>
          <w:lang w:eastAsia="ko-KR"/>
        </w:rPr>
        <w:br w:type="page"/>
      </w:r>
    </w:p>
    <w:p w14:paraId="0494C5B6" w14:textId="6A296E91" w:rsidR="003639B1" w:rsidRPr="003639B1" w:rsidRDefault="003639B1" w:rsidP="003639B1">
      <w:pPr>
        <w:pStyle w:val="Heading1"/>
        <w:rPr>
          <w:lang w:eastAsia="ko-KR"/>
        </w:rPr>
      </w:pPr>
      <w:r>
        <w:rPr>
          <w:lang w:eastAsia="ko-KR"/>
        </w:rPr>
        <w:lastRenderedPageBreak/>
        <w:t>Works Cited</w:t>
      </w:r>
    </w:p>
    <w:sectPr w:rsidR="003639B1" w:rsidRPr="003639B1" w:rsidSect="0089274E">
      <w:footerReference w:type="even" r:id="rId11"/>
      <w:footerReference w:type="default" r:id="rId12"/>
      <w:pgSz w:w="12240" w:h="15840"/>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BF27C6" w14:textId="77777777" w:rsidR="00B45074" w:rsidRDefault="00B45074" w:rsidP="004B7770">
      <w:pPr>
        <w:spacing w:before="0" w:after="0" w:line="240" w:lineRule="auto"/>
      </w:pPr>
      <w:r>
        <w:separator/>
      </w:r>
    </w:p>
  </w:endnote>
  <w:endnote w:type="continuationSeparator" w:id="0">
    <w:p w14:paraId="40AB6232" w14:textId="77777777" w:rsidR="00B45074" w:rsidRDefault="00B45074" w:rsidP="004B777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B0604020202020204"/>
    <w:charset w:val="00"/>
    <w:family w:val="roman"/>
    <w:pitch w:val="default"/>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Helvetica Neue">
    <w:altName w:val="﷽﷽﷽﷽﷽﷽﷽﷽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61742745"/>
      <w:docPartObj>
        <w:docPartGallery w:val="Page Numbers (Bottom of Page)"/>
        <w:docPartUnique/>
      </w:docPartObj>
    </w:sdtPr>
    <w:sdtEndPr>
      <w:rPr>
        <w:rStyle w:val="PageNumber"/>
      </w:rPr>
    </w:sdtEndPr>
    <w:sdtContent>
      <w:p w14:paraId="012C7490" w14:textId="559482FD" w:rsidR="00814DF0" w:rsidRDefault="00814DF0" w:rsidP="0007700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501627E" w14:textId="77777777" w:rsidR="00814DF0" w:rsidRDefault="00814DF0" w:rsidP="00814DF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80011460"/>
      <w:docPartObj>
        <w:docPartGallery w:val="Page Numbers (Bottom of Page)"/>
        <w:docPartUnique/>
      </w:docPartObj>
    </w:sdtPr>
    <w:sdtEndPr>
      <w:rPr>
        <w:rStyle w:val="PageNumber"/>
      </w:rPr>
    </w:sdtEndPr>
    <w:sdtContent>
      <w:p w14:paraId="7C3061DC" w14:textId="24FEC93E" w:rsidR="00814DF0" w:rsidRDefault="00814DF0" w:rsidP="0007700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sdtContent>
  </w:sdt>
  <w:p w14:paraId="40962435" w14:textId="179C0212" w:rsidR="00814DF0" w:rsidRDefault="00814DF0" w:rsidP="00814DF0">
    <w:pPr>
      <w:pStyle w:val="Footer"/>
      <w:ind w:right="360"/>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F0C164" w14:textId="77777777" w:rsidR="00B45074" w:rsidRDefault="00B45074" w:rsidP="004B7770">
      <w:pPr>
        <w:spacing w:before="0" w:after="0" w:line="240" w:lineRule="auto"/>
      </w:pPr>
      <w:r>
        <w:separator/>
      </w:r>
    </w:p>
  </w:footnote>
  <w:footnote w:type="continuationSeparator" w:id="0">
    <w:p w14:paraId="72289071" w14:textId="77777777" w:rsidR="00B45074" w:rsidRDefault="00B45074" w:rsidP="004B7770">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76727"/>
    <w:multiLevelType w:val="hybridMultilevel"/>
    <w:tmpl w:val="0EC4B9D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4F53E50"/>
    <w:multiLevelType w:val="hybridMultilevel"/>
    <w:tmpl w:val="66289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9219C6"/>
    <w:multiLevelType w:val="hybridMultilevel"/>
    <w:tmpl w:val="E76806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9F6D46"/>
    <w:multiLevelType w:val="hybridMultilevel"/>
    <w:tmpl w:val="DFB4B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460BC9"/>
    <w:multiLevelType w:val="hybridMultilevel"/>
    <w:tmpl w:val="C7ACC51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FC90518"/>
    <w:multiLevelType w:val="hybridMultilevel"/>
    <w:tmpl w:val="2D649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58E795E"/>
    <w:multiLevelType w:val="hybridMultilevel"/>
    <w:tmpl w:val="CD444B12"/>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AFB2057"/>
    <w:multiLevelType w:val="hybridMultilevel"/>
    <w:tmpl w:val="C95A4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2E624FE"/>
    <w:multiLevelType w:val="hybridMultilevel"/>
    <w:tmpl w:val="B470C964"/>
    <w:lvl w:ilvl="0" w:tplc="04090001">
      <w:start w:val="1"/>
      <w:numFmt w:val="bullet"/>
      <w:lvlText w:val=""/>
      <w:lvlJc w:val="left"/>
      <w:pPr>
        <w:ind w:left="786" w:hanging="360"/>
      </w:pPr>
      <w:rPr>
        <w:rFonts w:ascii="Symbol" w:hAnsi="Symbol" w:hint="default"/>
      </w:rPr>
    </w:lvl>
    <w:lvl w:ilvl="1" w:tplc="04090003">
      <w:start w:val="1"/>
      <w:numFmt w:val="bullet"/>
      <w:lvlText w:val="o"/>
      <w:lvlJc w:val="left"/>
      <w:pPr>
        <w:ind w:left="1506" w:hanging="360"/>
      </w:pPr>
      <w:rPr>
        <w:rFonts w:ascii="Courier New" w:hAnsi="Courier New" w:cs="Courier New" w:hint="default"/>
      </w:rPr>
    </w:lvl>
    <w:lvl w:ilvl="2" w:tplc="04090005">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9" w15:restartNumberingAfterBreak="0">
    <w:nsid w:val="7E6B1D3B"/>
    <w:multiLevelType w:val="hybridMultilevel"/>
    <w:tmpl w:val="34CA9AD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52610458">
    <w:abstractNumId w:val="6"/>
  </w:num>
  <w:num w:numId="2" w16cid:durableId="1544368912">
    <w:abstractNumId w:val="0"/>
  </w:num>
  <w:num w:numId="3" w16cid:durableId="1846628824">
    <w:abstractNumId w:val="2"/>
  </w:num>
  <w:num w:numId="4" w16cid:durableId="1155296024">
    <w:abstractNumId w:val="5"/>
  </w:num>
  <w:num w:numId="5" w16cid:durableId="2021539711">
    <w:abstractNumId w:val="4"/>
  </w:num>
  <w:num w:numId="6" w16cid:durableId="152836859">
    <w:abstractNumId w:val="8"/>
  </w:num>
  <w:num w:numId="7" w16cid:durableId="1737630668">
    <w:abstractNumId w:val="9"/>
  </w:num>
  <w:num w:numId="8" w16cid:durableId="776021622">
    <w:abstractNumId w:val="1"/>
  </w:num>
  <w:num w:numId="9" w16cid:durableId="585069524">
    <w:abstractNumId w:val="3"/>
  </w:num>
  <w:num w:numId="10" w16cid:durableId="5758265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770"/>
    <w:rsid w:val="0001275D"/>
    <w:rsid w:val="00013239"/>
    <w:rsid w:val="000223A4"/>
    <w:rsid w:val="0002437A"/>
    <w:rsid w:val="00043D91"/>
    <w:rsid w:val="000469CB"/>
    <w:rsid w:val="000544FD"/>
    <w:rsid w:val="000E7742"/>
    <w:rsid w:val="000F0487"/>
    <w:rsid w:val="00107EA7"/>
    <w:rsid w:val="00110522"/>
    <w:rsid w:val="00112C93"/>
    <w:rsid w:val="00120B79"/>
    <w:rsid w:val="00152A4C"/>
    <w:rsid w:val="00163B76"/>
    <w:rsid w:val="00163CCC"/>
    <w:rsid w:val="001B6B1D"/>
    <w:rsid w:val="001D4ED4"/>
    <w:rsid w:val="001D63B0"/>
    <w:rsid w:val="001E449C"/>
    <w:rsid w:val="001F29D7"/>
    <w:rsid w:val="0020206D"/>
    <w:rsid w:val="002021F6"/>
    <w:rsid w:val="00216252"/>
    <w:rsid w:val="0022083C"/>
    <w:rsid w:val="00231A98"/>
    <w:rsid w:val="002342A2"/>
    <w:rsid w:val="0025074A"/>
    <w:rsid w:val="002535D7"/>
    <w:rsid w:val="00297C2C"/>
    <w:rsid w:val="002A3FAC"/>
    <w:rsid w:val="002A63A5"/>
    <w:rsid w:val="002A79BC"/>
    <w:rsid w:val="002B4E0E"/>
    <w:rsid w:val="002D14C4"/>
    <w:rsid w:val="003214C8"/>
    <w:rsid w:val="00327AEC"/>
    <w:rsid w:val="00331507"/>
    <w:rsid w:val="0033346F"/>
    <w:rsid w:val="003639B1"/>
    <w:rsid w:val="00387F36"/>
    <w:rsid w:val="003A4246"/>
    <w:rsid w:val="003A6561"/>
    <w:rsid w:val="003C1FAB"/>
    <w:rsid w:val="00426BEF"/>
    <w:rsid w:val="00461FCE"/>
    <w:rsid w:val="004738C4"/>
    <w:rsid w:val="00474F13"/>
    <w:rsid w:val="0048289C"/>
    <w:rsid w:val="004912CD"/>
    <w:rsid w:val="004A6DBC"/>
    <w:rsid w:val="004B6566"/>
    <w:rsid w:val="004B7770"/>
    <w:rsid w:val="004F01E6"/>
    <w:rsid w:val="005054E4"/>
    <w:rsid w:val="00517B78"/>
    <w:rsid w:val="00522860"/>
    <w:rsid w:val="00542677"/>
    <w:rsid w:val="00573E35"/>
    <w:rsid w:val="00596789"/>
    <w:rsid w:val="005A365E"/>
    <w:rsid w:val="005A660C"/>
    <w:rsid w:val="005A7FB5"/>
    <w:rsid w:val="005C79BD"/>
    <w:rsid w:val="005E6230"/>
    <w:rsid w:val="005F1677"/>
    <w:rsid w:val="005F5EEE"/>
    <w:rsid w:val="005F6028"/>
    <w:rsid w:val="00601898"/>
    <w:rsid w:val="006235BC"/>
    <w:rsid w:val="00634512"/>
    <w:rsid w:val="0063513A"/>
    <w:rsid w:val="00640311"/>
    <w:rsid w:val="0065202F"/>
    <w:rsid w:val="00674F4D"/>
    <w:rsid w:val="0068146A"/>
    <w:rsid w:val="006845EB"/>
    <w:rsid w:val="00690F85"/>
    <w:rsid w:val="00693301"/>
    <w:rsid w:val="006B64C6"/>
    <w:rsid w:val="006B7FDE"/>
    <w:rsid w:val="006C1E18"/>
    <w:rsid w:val="006D0A3E"/>
    <w:rsid w:val="006E0AC0"/>
    <w:rsid w:val="006E5B53"/>
    <w:rsid w:val="006F0996"/>
    <w:rsid w:val="006F2B10"/>
    <w:rsid w:val="006F7A8E"/>
    <w:rsid w:val="007011C8"/>
    <w:rsid w:val="007142AC"/>
    <w:rsid w:val="00715EA9"/>
    <w:rsid w:val="00727120"/>
    <w:rsid w:val="007647ED"/>
    <w:rsid w:val="0078533A"/>
    <w:rsid w:val="00787DB1"/>
    <w:rsid w:val="007B4E9C"/>
    <w:rsid w:val="00814DF0"/>
    <w:rsid w:val="00816DC0"/>
    <w:rsid w:val="00831785"/>
    <w:rsid w:val="00847379"/>
    <w:rsid w:val="0089274E"/>
    <w:rsid w:val="008A1553"/>
    <w:rsid w:val="008A5C3F"/>
    <w:rsid w:val="008B711F"/>
    <w:rsid w:val="008C46BD"/>
    <w:rsid w:val="008C61B8"/>
    <w:rsid w:val="008D142E"/>
    <w:rsid w:val="008E7D56"/>
    <w:rsid w:val="00902895"/>
    <w:rsid w:val="00927317"/>
    <w:rsid w:val="009366EB"/>
    <w:rsid w:val="00937F9F"/>
    <w:rsid w:val="00952844"/>
    <w:rsid w:val="009974F3"/>
    <w:rsid w:val="009B55A8"/>
    <w:rsid w:val="009D01D8"/>
    <w:rsid w:val="009D1B29"/>
    <w:rsid w:val="009D4841"/>
    <w:rsid w:val="009D615F"/>
    <w:rsid w:val="009E6325"/>
    <w:rsid w:val="00A01ABA"/>
    <w:rsid w:val="00A22F9F"/>
    <w:rsid w:val="00A313EC"/>
    <w:rsid w:val="00A64956"/>
    <w:rsid w:val="00A76199"/>
    <w:rsid w:val="00AA06B4"/>
    <w:rsid w:val="00AC00A3"/>
    <w:rsid w:val="00AC0861"/>
    <w:rsid w:val="00AC4F8D"/>
    <w:rsid w:val="00AD0ECF"/>
    <w:rsid w:val="00AD68DE"/>
    <w:rsid w:val="00AD73EC"/>
    <w:rsid w:val="00AE0D0B"/>
    <w:rsid w:val="00AE17FF"/>
    <w:rsid w:val="00B079DB"/>
    <w:rsid w:val="00B1484A"/>
    <w:rsid w:val="00B16A7C"/>
    <w:rsid w:val="00B2308A"/>
    <w:rsid w:val="00B30288"/>
    <w:rsid w:val="00B45074"/>
    <w:rsid w:val="00BA222A"/>
    <w:rsid w:val="00BB1FFF"/>
    <w:rsid w:val="00BB24FC"/>
    <w:rsid w:val="00BB796A"/>
    <w:rsid w:val="00BC396D"/>
    <w:rsid w:val="00BE5AA7"/>
    <w:rsid w:val="00BF33DC"/>
    <w:rsid w:val="00BF7297"/>
    <w:rsid w:val="00C257B1"/>
    <w:rsid w:val="00C43C90"/>
    <w:rsid w:val="00C52B9E"/>
    <w:rsid w:val="00C52C80"/>
    <w:rsid w:val="00C623E1"/>
    <w:rsid w:val="00C765C7"/>
    <w:rsid w:val="00C8616B"/>
    <w:rsid w:val="00CA06F4"/>
    <w:rsid w:val="00CB7FDD"/>
    <w:rsid w:val="00D037E6"/>
    <w:rsid w:val="00D61C96"/>
    <w:rsid w:val="00DC3CE3"/>
    <w:rsid w:val="00DE70A0"/>
    <w:rsid w:val="00DF2387"/>
    <w:rsid w:val="00E42613"/>
    <w:rsid w:val="00E92BE0"/>
    <w:rsid w:val="00EA081B"/>
    <w:rsid w:val="00ED40D1"/>
    <w:rsid w:val="00EF0B0E"/>
    <w:rsid w:val="00F10598"/>
    <w:rsid w:val="00F1365C"/>
    <w:rsid w:val="00F55202"/>
    <w:rsid w:val="00F71AC1"/>
    <w:rsid w:val="00F7636B"/>
    <w:rsid w:val="00FB2946"/>
    <w:rsid w:val="00FB68F8"/>
    <w:rsid w:val="00FE1313"/>
    <w:rsid w:val="00FF1FA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7A65F"/>
  <w15:chartTrackingRefBased/>
  <w15:docId w15:val="{0F093DFB-B06F-F54D-95B2-4AAA7EE51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Body CS)"/>
        <w:color w:val="253746"/>
        <w:sz w:val="22"/>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898"/>
    <w:pPr>
      <w:spacing w:before="240" w:after="240" w:line="480" w:lineRule="auto"/>
    </w:pPr>
    <w:rPr>
      <w:rFonts w:ascii="Arial" w:hAnsi="Arial"/>
      <w:color w:val="000000" w:themeColor="text1"/>
    </w:rPr>
  </w:style>
  <w:style w:type="paragraph" w:styleId="Heading1">
    <w:name w:val="heading 1"/>
    <w:basedOn w:val="Normal"/>
    <w:next w:val="Normal"/>
    <w:link w:val="Heading1Char"/>
    <w:uiPriority w:val="9"/>
    <w:qFormat/>
    <w:rsid w:val="00D037E6"/>
    <w:pPr>
      <w:keepNext/>
      <w:keepLines/>
      <w:pBdr>
        <w:top w:val="single" w:sz="12" w:space="1" w:color="auto"/>
        <w:bottom w:val="single" w:sz="12" w:space="1" w:color="auto"/>
      </w:pBdr>
      <w:spacing w:after="0" w:line="240" w:lineRule="auto"/>
      <w:outlineLvl w:val="0"/>
    </w:pPr>
    <w:rPr>
      <w:rFonts w:eastAsiaTheme="majorEastAsia" w:cstheme="majorBidi"/>
      <w:b/>
      <w:sz w:val="30"/>
      <w:szCs w:val="30"/>
    </w:rPr>
  </w:style>
  <w:style w:type="paragraph" w:styleId="Heading2">
    <w:name w:val="heading 2"/>
    <w:basedOn w:val="Normal"/>
    <w:next w:val="Normal"/>
    <w:link w:val="Heading2Char"/>
    <w:autoRedefine/>
    <w:uiPriority w:val="9"/>
    <w:unhideWhenUsed/>
    <w:qFormat/>
    <w:rsid w:val="00A64956"/>
    <w:pPr>
      <w:keepNext/>
      <w:keepLines/>
      <w:spacing w:before="160" w:line="259" w:lineRule="auto"/>
      <w:outlineLvl w:val="1"/>
    </w:pPr>
    <w:rPr>
      <w:rFonts w:ascii="Helvetica" w:eastAsiaTheme="majorEastAsia" w:hAnsi="Helvetica" w:cstheme="majorBidi"/>
      <w:b/>
      <w:sz w:val="26"/>
      <w:szCs w:val="26"/>
    </w:rPr>
  </w:style>
  <w:style w:type="paragraph" w:styleId="Heading3">
    <w:name w:val="heading 3"/>
    <w:basedOn w:val="Normal"/>
    <w:next w:val="Normal"/>
    <w:link w:val="Heading3Char"/>
    <w:uiPriority w:val="9"/>
    <w:unhideWhenUsed/>
    <w:qFormat/>
    <w:rsid w:val="002D14C4"/>
    <w:pPr>
      <w:keepNext/>
      <w:keepLines/>
      <w:spacing w:before="120" w:after="120" w:line="257" w:lineRule="auto"/>
      <w:outlineLvl w:val="2"/>
    </w:pPr>
    <w:rPr>
      <w:rFonts w:eastAsiaTheme="majorEastAsia" w:cstheme="majorBidi"/>
      <w:b/>
      <w:i/>
      <w:iCs/>
      <w:sz w:val="24"/>
      <w:szCs w:val="24"/>
      <w:lang w:eastAsia="ko-KR"/>
    </w:rPr>
  </w:style>
  <w:style w:type="paragraph" w:styleId="Heading4">
    <w:name w:val="heading 4"/>
    <w:basedOn w:val="Normal"/>
    <w:next w:val="Normal"/>
    <w:link w:val="Heading4Char"/>
    <w:autoRedefine/>
    <w:uiPriority w:val="9"/>
    <w:unhideWhenUsed/>
    <w:qFormat/>
    <w:rsid w:val="00927317"/>
    <w:pPr>
      <w:keepNext/>
      <w:keepLines/>
      <w:spacing w:before="40" w:line="259" w:lineRule="auto"/>
      <w:outlineLvl w:val="3"/>
    </w:pPr>
    <w:rPr>
      <w:rFonts w:asciiTheme="majorHAnsi" w:eastAsiaTheme="majorEastAsia" w:hAnsiTheme="majorHAnsi" w:cstheme="majorHAnsi"/>
      <w:i/>
      <w:iCs/>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Style1">
    <w:name w:val="Style1"/>
    <w:basedOn w:val="TableNormal"/>
    <w:uiPriority w:val="99"/>
    <w:rsid w:val="00BC396D"/>
    <w:pPr>
      <w:jc w:val="center"/>
    </w:pPr>
    <w:tblPr>
      <w:tblStyleRowBandSize w:val="1"/>
      <w:tblCellMar>
        <w:left w:w="0" w:type="dxa"/>
        <w:right w:w="0" w:type="dxa"/>
      </w:tblCellMar>
    </w:tblPr>
    <w:tcPr>
      <w:tcMar>
        <w:top w:w="62" w:type="dxa"/>
        <w:left w:w="119" w:type="dxa"/>
        <w:bottom w:w="62" w:type="dxa"/>
        <w:right w:w="119" w:type="dxa"/>
      </w:tcMar>
      <w:vAlign w:val="center"/>
    </w:tcPr>
    <w:tblStylePr w:type="firstRow">
      <w:pPr>
        <w:jc w:val="center"/>
      </w:pPr>
      <w:rPr>
        <w:rFonts w:asciiTheme="majorHAnsi" w:hAnsiTheme="majorHAnsi"/>
        <w:b w:val="0"/>
        <w:bCs/>
        <w:color w:val="FFFFFF" w:themeColor="background1"/>
        <w:sz w:val="24"/>
      </w:rPr>
      <w:tblPr/>
      <w:tcPr>
        <w:tcBorders>
          <w:top w:val="nil"/>
          <w:left w:val="nil"/>
          <w:bottom w:val="nil"/>
          <w:right w:val="nil"/>
          <w:insideH w:val="nil"/>
          <w:insideV w:val="nil"/>
          <w:tl2br w:val="nil"/>
          <w:tr2bl w:val="nil"/>
        </w:tcBorders>
        <w:shd w:val="clear" w:color="auto" w:fill="253746"/>
      </w:tcPr>
    </w:tblStylePr>
    <w:tblStylePr w:type="lastRow">
      <w:rPr>
        <w:b w:val="0"/>
        <w:bCs/>
      </w:rPr>
      <w:tblPr/>
      <w:tcPr>
        <w:tcBorders>
          <w:top w:val="single" w:sz="4" w:space="0" w:color="7F7F7F" w:themeColor="text1" w:themeTint="80"/>
        </w:tcBorders>
      </w:tcPr>
    </w:tblStylePr>
    <w:tblStylePr w:type="firstCol">
      <w:rPr>
        <w:b w:val="0"/>
        <w:bCs/>
      </w:rPr>
    </w:tblStylePr>
    <w:tblStylePr w:type="lastCol">
      <w:rPr>
        <w:b w:val="0"/>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253746"/>
          <w:bottom w:val="single" w:sz="4" w:space="0" w:color="253746"/>
        </w:tcBorders>
      </w:tcPr>
    </w:tblStylePr>
  </w:style>
  <w:style w:type="paragraph" w:customStyle="1" w:styleId="TableHeader">
    <w:name w:val="Table Header"/>
    <w:basedOn w:val="Normal"/>
    <w:autoRedefine/>
    <w:qFormat/>
    <w:rsid w:val="00BC396D"/>
    <w:pPr>
      <w:spacing w:before="60" w:after="60"/>
      <w:jc w:val="center"/>
    </w:pPr>
    <w:rPr>
      <w:rFonts w:ascii="Helvetica Neue" w:hAnsi="Helvetica Neue"/>
      <w:bCs/>
      <w:color w:val="FFFFFF" w:themeColor="background1"/>
    </w:rPr>
  </w:style>
  <w:style w:type="table" w:customStyle="1" w:styleId="LTCleanTest">
    <w:name w:val="LT Clean Test"/>
    <w:basedOn w:val="TableNormal"/>
    <w:uiPriority w:val="99"/>
    <w:rsid w:val="00927317"/>
    <w:pPr>
      <w:spacing w:before="60" w:after="60"/>
      <w:jc w:val="center"/>
    </w:pPr>
    <w:tblPr>
      <w:tblStyleRowBandSize w:val="1"/>
      <w:tblCellMar>
        <w:left w:w="0" w:type="dxa"/>
        <w:right w:w="0" w:type="dxa"/>
      </w:tblCellMar>
    </w:tblPr>
    <w:tcPr>
      <w:tcMar>
        <w:top w:w="0" w:type="dxa"/>
        <w:left w:w="0" w:type="dxa"/>
        <w:bottom w:w="0" w:type="dxa"/>
        <w:right w:w="0" w:type="dxa"/>
      </w:tcMar>
      <w:vAlign w:val="center"/>
    </w:tcPr>
    <w:tblStylePr w:type="firstRow">
      <w:pPr>
        <w:wordWrap/>
        <w:spacing w:beforeLines="0" w:before="100" w:beforeAutospacing="0" w:afterLines="0" w:after="100" w:afterAutospacing="0" w:line="240" w:lineRule="auto"/>
        <w:contextualSpacing w:val="0"/>
        <w:jc w:val="center"/>
      </w:pPr>
      <w:rPr>
        <w:rFonts w:asciiTheme="majorHAnsi" w:hAnsiTheme="majorHAnsi"/>
        <w:b w:val="0"/>
        <w:bCs/>
        <w:i w:val="0"/>
        <w:color w:val="FFFFFF" w:themeColor="background1"/>
        <w:sz w:val="24"/>
      </w:rPr>
      <w:tblPr/>
      <w:tcPr>
        <w:tcBorders>
          <w:top w:val="nil"/>
          <w:left w:val="nil"/>
          <w:bottom w:val="nil"/>
          <w:right w:val="nil"/>
          <w:insideH w:val="nil"/>
          <w:insideV w:val="nil"/>
          <w:tl2br w:val="nil"/>
          <w:tr2bl w:val="nil"/>
        </w:tcBorders>
        <w:shd w:val="clear" w:color="auto" w:fill="253746"/>
      </w:tcPr>
    </w:tblStylePr>
    <w:tblStylePr w:type="lastRow">
      <w:rPr>
        <w:b w:val="0"/>
        <w:bCs/>
      </w:rPr>
      <w:tblPr/>
      <w:tcPr>
        <w:tcBorders>
          <w:top w:val="single" w:sz="4" w:space="0" w:color="7F7F7F" w:themeColor="text1" w:themeTint="80"/>
        </w:tcBorders>
      </w:tcPr>
    </w:tblStylePr>
    <w:tblStylePr w:type="firstCol">
      <w:rPr>
        <w:b w:val="0"/>
        <w:bCs/>
      </w:rPr>
    </w:tblStylePr>
    <w:tblStylePr w:type="lastCol">
      <w:rPr>
        <w:b w:val="0"/>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253746"/>
          <w:bottom w:val="single" w:sz="4" w:space="0" w:color="253746"/>
        </w:tcBorders>
      </w:tcPr>
    </w:tblStylePr>
  </w:style>
  <w:style w:type="table" w:customStyle="1" w:styleId="LanthaList">
    <w:name w:val="Lantha List"/>
    <w:basedOn w:val="GridTable2-Accent2"/>
    <w:uiPriority w:val="99"/>
    <w:rsid w:val="00BC396D"/>
    <w:pPr>
      <w:jc w:val="center"/>
    </w:pPr>
    <w:rPr>
      <w:color w:val="auto"/>
      <w:sz w:val="20"/>
      <w:lang w:eastAsia="en-CA"/>
    </w:rPr>
    <w:tblPr>
      <w:tblBorders>
        <w:top w:val="single" w:sz="4" w:space="0" w:color="253746"/>
        <w:bottom w:val="single" w:sz="4" w:space="0" w:color="253746"/>
        <w:insideH w:val="single" w:sz="4" w:space="0" w:color="253746"/>
        <w:insideV w:val="single" w:sz="4" w:space="0" w:color="253746"/>
      </w:tblBorders>
      <w:tblCellMar>
        <w:left w:w="0" w:type="dxa"/>
        <w:right w:w="0" w:type="dxa"/>
      </w:tblCellMar>
    </w:tblPr>
    <w:tcPr>
      <w:vAlign w:val="center"/>
    </w:tcPr>
    <w:tblStylePr w:type="firstRow">
      <w:pPr>
        <w:wordWrap/>
        <w:spacing w:beforeLines="0" w:before="60" w:beforeAutospacing="0" w:afterLines="0" w:after="60" w:afterAutospacing="0" w:line="240" w:lineRule="auto"/>
        <w:contextualSpacing w:val="0"/>
        <w:jc w:val="center"/>
      </w:pPr>
      <w:rPr>
        <w:rFonts w:asciiTheme="majorHAnsi" w:hAnsiTheme="majorHAnsi"/>
        <w:b w:val="0"/>
        <w:bCs/>
        <w:color w:val="FFFFFF" w:themeColor="background1"/>
        <w:sz w:val="24"/>
      </w:rPr>
      <w:tblPr/>
      <w:tcPr>
        <w:tcBorders>
          <w:top w:val="nil"/>
          <w:left w:val="nil"/>
          <w:bottom w:val="nil"/>
          <w:right w:val="nil"/>
          <w:insideH w:val="nil"/>
          <w:insideV w:val="nil"/>
          <w:tl2br w:val="nil"/>
          <w:tr2bl w:val="nil"/>
        </w:tcBorders>
        <w:shd w:val="clear" w:color="auto" w:fill="253746"/>
      </w:tcPr>
    </w:tblStylePr>
    <w:tblStylePr w:type="lastRow">
      <w:rPr>
        <w:b/>
        <w:bCs/>
      </w:rPr>
      <w:tblPr/>
      <w:tcPr>
        <w:tcBorders>
          <w:top w:val="nil"/>
          <w:left w:val="nil"/>
          <w:bottom w:val="nil"/>
          <w:right w:val="nil"/>
          <w:insideH w:val="nil"/>
          <w:insideV w:val="nil"/>
          <w:tl2br w:val="nil"/>
          <w:tr2bl w:val="nil"/>
        </w:tcBorders>
        <w:shd w:val="clear" w:color="auto" w:fill="253746"/>
      </w:tcPr>
    </w:tblStylePr>
    <w:tblStylePr w:type="firstCol">
      <w:rPr>
        <w:b w:val="0"/>
        <w:bCs/>
      </w:rPr>
    </w:tblStylePr>
    <w:tblStylePr w:type="lastCol">
      <w:rPr>
        <w:b w:val="0"/>
        <w:bCs/>
      </w:rPr>
    </w:tblStylePr>
    <w:tblStylePr w:type="band1Vert">
      <w:pPr>
        <w:jc w:val="center"/>
      </w:pPr>
      <w:tblPr/>
      <w:tcPr>
        <w:shd w:val="clear" w:color="auto" w:fill="FBE4D5" w:themeFill="accent2" w:themeFillTint="33"/>
      </w:tcPr>
    </w:tblStylePr>
    <w:tblStylePr w:type="band1Horz">
      <w:tblPr/>
      <w:tcPr>
        <w:shd w:val="clear" w:color="auto" w:fill="FFFFFF" w:themeFill="background1"/>
      </w:tcPr>
    </w:tblStylePr>
    <w:tblStylePr w:type="band2Horz">
      <w:tblPr/>
      <w:tcPr>
        <w:shd w:val="clear" w:color="auto" w:fill="FBE4D5" w:themeFill="accent2" w:themeFillTint="33"/>
      </w:tcPr>
    </w:tblStylePr>
  </w:style>
  <w:style w:type="table" w:styleId="GridTable2-Accent2">
    <w:name w:val="Grid Table 2 Accent 2"/>
    <w:basedOn w:val="TableNormal"/>
    <w:uiPriority w:val="47"/>
    <w:rsid w:val="00BC396D"/>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Heading3Char">
    <w:name w:val="Heading 3 Char"/>
    <w:basedOn w:val="DefaultParagraphFont"/>
    <w:link w:val="Heading3"/>
    <w:uiPriority w:val="9"/>
    <w:rsid w:val="002D14C4"/>
    <w:rPr>
      <w:rFonts w:ascii="Arial" w:eastAsiaTheme="majorEastAsia" w:hAnsi="Arial" w:cstheme="majorBidi"/>
      <w:b/>
      <w:i/>
      <w:iCs/>
      <w:color w:val="000000" w:themeColor="text1"/>
      <w:sz w:val="24"/>
      <w:szCs w:val="24"/>
      <w:lang w:eastAsia="ko-KR"/>
    </w:rPr>
  </w:style>
  <w:style w:type="character" w:customStyle="1" w:styleId="Heading2Char">
    <w:name w:val="Heading 2 Char"/>
    <w:basedOn w:val="DefaultParagraphFont"/>
    <w:link w:val="Heading2"/>
    <w:uiPriority w:val="9"/>
    <w:rsid w:val="00A64956"/>
    <w:rPr>
      <w:rFonts w:ascii="Helvetica" w:eastAsiaTheme="majorEastAsia" w:hAnsi="Helvetica" w:cstheme="majorBidi"/>
      <w:b/>
      <w:sz w:val="26"/>
      <w:szCs w:val="26"/>
    </w:rPr>
  </w:style>
  <w:style w:type="character" w:customStyle="1" w:styleId="Heading1Char">
    <w:name w:val="Heading 1 Char"/>
    <w:basedOn w:val="DefaultParagraphFont"/>
    <w:link w:val="Heading1"/>
    <w:uiPriority w:val="9"/>
    <w:rsid w:val="00D037E6"/>
    <w:rPr>
      <w:rFonts w:ascii="Arial" w:eastAsiaTheme="majorEastAsia" w:hAnsi="Arial" w:cstheme="majorBidi"/>
      <w:b/>
      <w:color w:val="000000" w:themeColor="text1"/>
      <w:sz w:val="30"/>
      <w:szCs w:val="30"/>
    </w:rPr>
  </w:style>
  <w:style w:type="character" w:customStyle="1" w:styleId="Heading4Char">
    <w:name w:val="Heading 4 Char"/>
    <w:basedOn w:val="DefaultParagraphFont"/>
    <w:link w:val="Heading4"/>
    <w:uiPriority w:val="9"/>
    <w:rsid w:val="00927317"/>
    <w:rPr>
      <w:rFonts w:asciiTheme="majorHAnsi" w:eastAsiaTheme="majorEastAsia" w:hAnsiTheme="majorHAnsi" w:cstheme="majorHAnsi"/>
      <w:i/>
      <w:iCs/>
      <w:sz w:val="24"/>
      <w:szCs w:val="24"/>
      <w:lang w:eastAsia="ko-KR"/>
    </w:rPr>
  </w:style>
  <w:style w:type="table" w:customStyle="1" w:styleId="LanthaAltTest">
    <w:name w:val="Lantha Alt Test"/>
    <w:basedOn w:val="GridTable2-Accent2"/>
    <w:uiPriority w:val="99"/>
    <w:rsid w:val="00927317"/>
    <w:pPr>
      <w:spacing w:before="60" w:after="60"/>
      <w:jc w:val="center"/>
    </w:pPr>
    <w:rPr>
      <w:color w:val="auto"/>
      <w:sz w:val="20"/>
      <w:lang w:eastAsia="en-CA"/>
    </w:rPr>
    <w:tblPr>
      <w:tblBorders>
        <w:top w:val="single" w:sz="4" w:space="0" w:color="253746"/>
        <w:bottom w:val="single" w:sz="4" w:space="0" w:color="253746"/>
        <w:insideH w:val="single" w:sz="4" w:space="0" w:color="253746"/>
        <w:insideV w:val="single" w:sz="4" w:space="0" w:color="253746"/>
      </w:tblBorders>
      <w:tblCellMar>
        <w:left w:w="0" w:type="dxa"/>
        <w:right w:w="0" w:type="dxa"/>
      </w:tblCellMar>
    </w:tblPr>
    <w:tcPr>
      <w:vAlign w:val="center"/>
    </w:tcPr>
    <w:tblStylePr w:type="firstRow">
      <w:pPr>
        <w:wordWrap/>
        <w:spacing w:beforeLines="0" w:before="90" w:beforeAutospacing="0" w:afterLines="0" w:after="90" w:afterAutospacing="0" w:line="240" w:lineRule="auto"/>
        <w:contextualSpacing w:val="0"/>
        <w:jc w:val="center"/>
      </w:pPr>
      <w:rPr>
        <w:rFonts w:asciiTheme="majorHAnsi" w:hAnsiTheme="majorHAnsi"/>
        <w:b w:val="0"/>
        <w:bCs/>
        <w:color w:val="FFFFFF" w:themeColor="background1"/>
        <w:sz w:val="24"/>
      </w:rPr>
      <w:tblPr/>
      <w:tcPr>
        <w:tcBorders>
          <w:top w:val="nil"/>
          <w:left w:val="nil"/>
          <w:bottom w:val="nil"/>
          <w:right w:val="nil"/>
          <w:insideH w:val="nil"/>
          <w:insideV w:val="nil"/>
          <w:tl2br w:val="nil"/>
          <w:tr2bl w:val="nil"/>
        </w:tcBorders>
        <w:shd w:val="clear" w:color="auto" w:fill="253746"/>
      </w:tcPr>
    </w:tblStylePr>
    <w:tblStylePr w:type="lastRow">
      <w:rPr>
        <w:b/>
        <w:bCs/>
      </w:rPr>
      <w:tblPr/>
      <w:tcPr>
        <w:tcBorders>
          <w:top w:val="nil"/>
          <w:left w:val="nil"/>
          <w:bottom w:val="nil"/>
          <w:right w:val="nil"/>
          <w:insideH w:val="nil"/>
          <w:insideV w:val="nil"/>
          <w:tl2br w:val="nil"/>
          <w:tr2bl w:val="nil"/>
        </w:tcBorders>
        <w:shd w:val="clear" w:color="auto" w:fill="253746"/>
      </w:tcPr>
    </w:tblStylePr>
    <w:tblStylePr w:type="firstCol">
      <w:rPr>
        <w:b w:val="0"/>
        <w:bCs/>
      </w:rPr>
    </w:tblStylePr>
    <w:tblStylePr w:type="lastCol">
      <w:rPr>
        <w:b w:val="0"/>
        <w:bCs/>
      </w:rPr>
    </w:tblStylePr>
    <w:tblStylePr w:type="band1Vert">
      <w:pPr>
        <w:jc w:val="center"/>
      </w:pPr>
      <w:tblPr/>
      <w:tcPr>
        <w:shd w:val="clear" w:color="auto" w:fill="FBE4D5" w:themeFill="accent2" w:themeFillTint="33"/>
      </w:tcPr>
    </w:tblStylePr>
    <w:tblStylePr w:type="band1Horz">
      <w:tblPr/>
      <w:tcPr>
        <w:shd w:val="clear" w:color="auto" w:fill="FFFFFF" w:themeFill="background1"/>
      </w:tcPr>
    </w:tblStylePr>
    <w:tblStylePr w:type="band2Horz">
      <w:tblPr/>
      <w:tcPr>
        <w:shd w:val="clear" w:color="auto" w:fill="FBE4D5" w:themeFill="accent2" w:themeFillTint="33"/>
      </w:tcPr>
    </w:tblStylePr>
  </w:style>
  <w:style w:type="paragraph" w:styleId="ListParagraph">
    <w:name w:val="List Paragraph"/>
    <w:basedOn w:val="Normal"/>
    <w:uiPriority w:val="34"/>
    <w:qFormat/>
    <w:rsid w:val="004B7770"/>
    <w:pPr>
      <w:ind w:left="720"/>
      <w:contextualSpacing/>
    </w:pPr>
  </w:style>
  <w:style w:type="paragraph" w:styleId="Header">
    <w:name w:val="header"/>
    <w:basedOn w:val="Normal"/>
    <w:link w:val="HeaderChar"/>
    <w:uiPriority w:val="99"/>
    <w:unhideWhenUsed/>
    <w:rsid w:val="004B7770"/>
    <w:pPr>
      <w:tabs>
        <w:tab w:val="center" w:pos="4680"/>
        <w:tab w:val="right" w:pos="9360"/>
      </w:tabs>
      <w:spacing w:before="0" w:after="0"/>
    </w:pPr>
  </w:style>
  <w:style w:type="character" w:customStyle="1" w:styleId="HeaderChar">
    <w:name w:val="Header Char"/>
    <w:basedOn w:val="DefaultParagraphFont"/>
    <w:link w:val="Header"/>
    <w:uiPriority w:val="99"/>
    <w:rsid w:val="004B7770"/>
    <w:rPr>
      <w:rFonts w:ascii="Arial" w:hAnsi="Arial"/>
    </w:rPr>
  </w:style>
  <w:style w:type="paragraph" w:styleId="Footer">
    <w:name w:val="footer"/>
    <w:basedOn w:val="Normal"/>
    <w:link w:val="FooterChar"/>
    <w:uiPriority w:val="99"/>
    <w:unhideWhenUsed/>
    <w:rsid w:val="004B7770"/>
    <w:pPr>
      <w:tabs>
        <w:tab w:val="center" w:pos="4680"/>
        <w:tab w:val="right" w:pos="9360"/>
      </w:tabs>
      <w:spacing w:before="0" w:after="0"/>
    </w:pPr>
  </w:style>
  <w:style w:type="character" w:customStyle="1" w:styleId="FooterChar">
    <w:name w:val="Footer Char"/>
    <w:basedOn w:val="DefaultParagraphFont"/>
    <w:link w:val="Footer"/>
    <w:uiPriority w:val="99"/>
    <w:rsid w:val="004B7770"/>
    <w:rPr>
      <w:rFonts w:ascii="Arial" w:hAnsi="Arial"/>
    </w:rPr>
  </w:style>
  <w:style w:type="paragraph" w:styleId="NoSpacing">
    <w:name w:val="No Spacing"/>
    <w:link w:val="NoSpacingChar"/>
    <w:uiPriority w:val="1"/>
    <w:qFormat/>
    <w:rsid w:val="0089274E"/>
    <w:rPr>
      <w:rFonts w:eastAsiaTheme="minorEastAsia" w:cstheme="minorBidi"/>
      <w:color w:val="auto"/>
      <w:szCs w:val="22"/>
      <w:lang w:val="en-US" w:eastAsia="zh-CN"/>
    </w:rPr>
  </w:style>
  <w:style w:type="character" w:customStyle="1" w:styleId="NoSpacingChar">
    <w:name w:val="No Spacing Char"/>
    <w:basedOn w:val="DefaultParagraphFont"/>
    <w:link w:val="NoSpacing"/>
    <w:uiPriority w:val="1"/>
    <w:rsid w:val="0089274E"/>
    <w:rPr>
      <w:rFonts w:eastAsiaTheme="minorEastAsia" w:cstheme="minorBidi"/>
      <w:color w:val="auto"/>
      <w:szCs w:val="22"/>
      <w:lang w:val="en-US" w:eastAsia="zh-CN"/>
    </w:rPr>
  </w:style>
  <w:style w:type="character" w:styleId="PageNumber">
    <w:name w:val="page number"/>
    <w:basedOn w:val="DefaultParagraphFont"/>
    <w:uiPriority w:val="99"/>
    <w:semiHidden/>
    <w:unhideWhenUsed/>
    <w:rsid w:val="00814DF0"/>
  </w:style>
  <w:style w:type="paragraph" w:styleId="TOCHeading">
    <w:name w:val="TOC Heading"/>
    <w:basedOn w:val="Heading1"/>
    <w:next w:val="Normal"/>
    <w:uiPriority w:val="39"/>
    <w:unhideWhenUsed/>
    <w:qFormat/>
    <w:rsid w:val="005F6028"/>
    <w:pPr>
      <w:pBdr>
        <w:top w:val="none" w:sz="0" w:space="0" w:color="auto"/>
        <w:bottom w:val="none" w:sz="0" w:space="0" w:color="auto"/>
      </w:pBdr>
      <w:spacing w:before="480" w:line="276" w:lineRule="auto"/>
      <w:outlineLvl w:val="9"/>
    </w:pPr>
    <w:rPr>
      <w:rFonts w:asciiTheme="majorHAnsi" w:hAnsiTheme="majorHAnsi"/>
      <w:bCs/>
      <w:color w:val="2F5496" w:themeColor="accent1" w:themeShade="BF"/>
      <w:sz w:val="28"/>
      <w:szCs w:val="28"/>
      <w:lang w:val="en-US"/>
    </w:rPr>
  </w:style>
  <w:style w:type="paragraph" w:styleId="TOC1">
    <w:name w:val="toc 1"/>
    <w:basedOn w:val="Normal"/>
    <w:next w:val="Normal"/>
    <w:autoRedefine/>
    <w:uiPriority w:val="39"/>
    <w:unhideWhenUsed/>
    <w:rsid w:val="005F6028"/>
    <w:pPr>
      <w:tabs>
        <w:tab w:val="right" w:leader="dot" w:pos="9350"/>
      </w:tabs>
      <w:spacing w:after="120" w:line="360" w:lineRule="auto"/>
    </w:pPr>
    <w:rPr>
      <w:rFonts w:asciiTheme="minorHAnsi" w:hAnsiTheme="minorHAnsi" w:cstheme="minorHAnsi"/>
      <w:b/>
      <w:bCs/>
      <w:sz w:val="20"/>
    </w:rPr>
  </w:style>
  <w:style w:type="paragraph" w:styleId="TOC2">
    <w:name w:val="toc 2"/>
    <w:basedOn w:val="Normal"/>
    <w:next w:val="Normal"/>
    <w:autoRedefine/>
    <w:uiPriority w:val="39"/>
    <w:unhideWhenUsed/>
    <w:rsid w:val="005F6028"/>
    <w:pPr>
      <w:spacing w:before="120" w:after="0"/>
      <w:ind w:left="220"/>
    </w:pPr>
    <w:rPr>
      <w:rFonts w:asciiTheme="minorHAnsi" w:hAnsiTheme="minorHAnsi" w:cstheme="minorHAnsi"/>
      <w:i/>
      <w:iCs/>
      <w:sz w:val="20"/>
    </w:rPr>
  </w:style>
  <w:style w:type="paragraph" w:styleId="TOC3">
    <w:name w:val="toc 3"/>
    <w:basedOn w:val="Normal"/>
    <w:next w:val="Normal"/>
    <w:autoRedefine/>
    <w:uiPriority w:val="39"/>
    <w:unhideWhenUsed/>
    <w:rsid w:val="005F6028"/>
    <w:pPr>
      <w:spacing w:before="0" w:after="0"/>
      <w:ind w:left="440"/>
    </w:pPr>
    <w:rPr>
      <w:rFonts w:asciiTheme="minorHAnsi" w:hAnsiTheme="minorHAnsi" w:cstheme="minorHAnsi"/>
      <w:sz w:val="20"/>
    </w:rPr>
  </w:style>
  <w:style w:type="character" w:styleId="Hyperlink">
    <w:name w:val="Hyperlink"/>
    <w:basedOn w:val="DefaultParagraphFont"/>
    <w:uiPriority w:val="99"/>
    <w:unhideWhenUsed/>
    <w:rsid w:val="005F6028"/>
    <w:rPr>
      <w:color w:val="0563C1" w:themeColor="hyperlink"/>
      <w:u w:val="single"/>
    </w:rPr>
  </w:style>
  <w:style w:type="paragraph" w:styleId="TOC4">
    <w:name w:val="toc 4"/>
    <w:basedOn w:val="Normal"/>
    <w:next w:val="Normal"/>
    <w:autoRedefine/>
    <w:uiPriority w:val="39"/>
    <w:semiHidden/>
    <w:unhideWhenUsed/>
    <w:rsid w:val="005F6028"/>
    <w:pPr>
      <w:spacing w:before="0" w:after="0"/>
      <w:ind w:left="660"/>
    </w:pPr>
    <w:rPr>
      <w:rFonts w:asciiTheme="minorHAnsi" w:hAnsiTheme="minorHAnsi" w:cstheme="minorHAnsi"/>
      <w:sz w:val="20"/>
    </w:rPr>
  </w:style>
  <w:style w:type="paragraph" w:styleId="TOC5">
    <w:name w:val="toc 5"/>
    <w:basedOn w:val="Normal"/>
    <w:next w:val="Normal"/>
    <w:autoRedefine/>
    <w:uiPriority w:val="39"/>
    <w:semiHidden/>
    <w:unhideWhenUsed/>
    <w:rsid w:val="005F6028"/>
    <w:pPr>
      <w:spacing w:before="0" w:after="0"/>
      <w:ind w:left="880"/>
    </w:pPr>
    <w:rPr>
      <w:rFonts w:asciiTheme="minorHAnsi" w:hAnsiTheme="minorHAnsi" w:cstheme="minorHAnsi"/>
      <w:sz w:val="20"/>
    </w:rPr>
  </w:style>
  <w:style w:type="paragraph" w:styleId="TOC6">
    <w:name w:val="toc 6"/>
    <w:basedOn w:val="Normal"/>
    <w:next w:val="Normal"/>
    <w:autoRedefine/>
    <w:uiPriority w:val="39"/>
    <w:semiHidden/>
    <w:unhideWhenUsed/>
    <w:rsid w:val="005F6028"/>
    <w:pPr>
      <w:spacing w:before="0" w:after="0"/>
      <w:ind w:left="1100"/>
    </w:pPr>
    <w:rPr>
      <w:rFonts w:asciiTheme="minorHAnsi" w:hAnsiTheme="minorHAnsi" w:cstheme="minorHAnsi"/>
      <w:sz w:val="20"/>
    </w:rPr>
  </w:style>
  <w:style w:type="paragraph" w:styleId="TOC7">
    <w:name w:val="toc 7"/>
    <w:basedOn w:val="Normal"/>
    <w:next w:val="Normal"/>
    <w:autoRedefine/>
    <w:uiPriority w:val="39"/>
    <w:semiHidden/>
    <w:unhideWhenUsed/>
    <w:rsid w:val="005F6028"/>
    <w:pPr>
      <w:spacing w:before="0" w:after="0"/>
      <w:ind w:left="1320"/>
    </w:pPr>
    <w:rPr>
      <w:rFonts w:asciiTheme="minorHAnsi" w:hAnsiTheme="minorHAnsi" w:cstheme="minorHAnsi"/>
      <w:sz w:val="20"/>
    </w:rPr>
  </w:style>
  <w:style w:type="paragraph" w:styleId="TOC8">
    <w:name w:val="toc 8"/>
    <w:basedOn w:val="Normal"/>
    <w:next w:val="Normal"/>
    <w:autoRedefine/>
    <w:uiPriority w:val="39"/>
    <w:semiHidden/>
    <w:unhideWhenUsed/>
    <w:rsid w:val="005F6028"/>
    <w:pPr>
      <w:spacing w:before="0" w:after="0"/>
      <w:ind w:left="1540"/>
    </w:pPr>
    <w:rPr>
      <w:rFonts w:asciiTheme="minorHAnsi" w:hAnsiTheme="minorHAnsi" w:cstheme="minorHAnsi"/>
      <w:sz w:val="20"/>
    </w:rPr>
  </w:style>
  <w:style w:type="paragraph" w:styleId="TOC9">
    <w:name w:val="toc 9"/>
    <w:basedOn w:val="Normal"/>
    <w:next w:val="Normal"/>
    <w:autoRedefine/>
    <w:uiPriority w:val="39"/>
    <w:semiHidden/>
    <w:unhideWhenUsed/>
    <w:rsid w:val="005F6028"/>
    <w:pPr>
      <w:spacing w:before="0" w:after="0"/>
      <w:ind w:left="1760"/>
    </w:pPr>
    <w:rPr>
      <w:rFonts w:asciiTheme="minorHAnsi" w:hAnsiTheme="minorHAnsi" w:cstheme="minorHAnsi"/>
      <w:sz w:val="20"/>
    </w:rPr>
  </w:style>
  <w:style w:type="table" w:styleId="TableGrid">
    <w:name w:val="Table Grid"/>
    <w:basedOn w:val="TableNormal"/>
    <w:uiPriority w:val="39"/>
    <w:rsid w:val="000243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967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185241">
      <w:bodyDiv w:val="1"/>
      <w:marLeft w:val="0"/>
      <w:marRight w:val="0"/>
      <w:marTop w:val="0"/>
      <w:marBottom w:val="0"/>
      <w:divBdr>
        <w:top w:val="none" w:sz="0" w:space="0" w:color="auto"/>
        <w:left w:val="none" w:sz="0" w:space="0" w:color="auto"/>
        <w:bottom w:val="none" w:sz="0" w:space="0" w:color="auto"/>
        <w:right w:val="none" w:sz="0" w:space="0" w:color="auto"/>
      </w:divBdr>
    </w:div>
    <w:div w:id="232470429">
      <w:bodyDiv w:val="1"/>
      <w:marLeft w:val="0"/>
      <w:marRight w:val="0"/>
      <w:marTop w:val="0"/>
      <w:marBottom w:val="0"/>
      <w:divBdr>
        <w:top w:val="none" w:sz="0" w:space="0" w:color="auto"/>
        <w:left w:val="none" w:sz="0" w:space="0" w:color="auto"/>
        <w:bottom w:val="none" w:sz="0" w:space="0" w:color="auto"/>
        <w:right w:val="none" w:sz="0" w:space="0" w:color="auto"/>
      </w:divBdr>
    </w:div>
    <w:div w:id="716780711">
      <w:bodyDiv w:val="1"/>
      <w:marLeft w:val="0"/>
      <w:marRight w:val="0"/>
      <w:marTop w:val="0"/>
      <w:marBottom w:val="0"/>
      <w:divBdr>
        <w:top w:val="none" w:sz="0" w:space="0" w:color="auto"/>
        <w:left w:val="none" w:sz="0" w:space="0" w:color="auto"/>
        <w:bottom w:val="none" w:sz="0" w:space="0" w:color="auto"/>
        <w:right w:val="none" w:sz="0" w:space="0" w:color="auto"/>
      </w:divBdr>
    </w:div>
    <w:div w:id="1049496427">
      <w:bodyDiv w:val="1"/>
      <w:marLeft w:val="0"/>
      <w:marRight w:val="0"/>
      <w:marTop w:val="0"/>
      <w:marBottom w:val="0"/>
      <w:divBdr>
        <w:top w:val="none" w:sz="0" w:space="0" w:color="auto"/>
        <w:left w:val="none" w:sz="0" w:space="0" w:color="auto"/>
        <w:bottom w:val="none" w:sz="0" w:space="0" w:color="auto"/>
        <w:right w:val="none" w:sz="0" w:space="0" w:color="auto"/>
      </w:divBdr>
    </w:div>
    <w:div w:id="1062950356">
      <w:bodyDiv w:val="1"/>
      <w:marLeft w:val="0"/>
      <w:marRight w:val="0"/>
      <w:marTop w:val="0"/>
      <w:marBottom w:val="0"/>
      <w:divBdr>
        <w:top w:val="none" w:sz="0" w:space="0" w:color="auto"/>
        <w:left w:val="none" w:sz="0" w:space="0" w:color="auto"/>
        <w:bottom w:val="none" w:sz="0" w:space="0" w:color="auto"/>
        <w:right w:val="none" w:sz="0" w:space="0" w:color="auto"/>
      </w:divBdr>
    </w:div>
    <w:div w:id="2127507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nmax@student.ubc.c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100" b="0" i="1">
                <a:solidFill>
                  <a:schemeClr val="tx1"/>
                </a:solidFill>
                <a:latin typeface="Helvetica" pitchFamily="2" charset="0"/>
              </a:rPr>
              <a:t>Comfortability - Level of Financial Literacy</a:t>
            </a:r>
            <a:r>
              <a:rPr lang="en-US" sz="1100" b="0" i="1" baseline="0">
                <a:solidFill>
                  <a:schemeClr val="tx1"/>
                </a:solidFill>
                <a:latin typeface="Helvetica" pitchFamily="2" charset="0"/>
              </a:rPr>
              <a:t> vs Ability to Manage Money</a:t>
            </a:r>
            <a:endParaRPr lang="en-US" sz="1100" b="0" i="1">
              <a:solidFill>
                <a:schemeClr val="tx1"/>
              </a:solidFill>
              <a:latin typeface="Helvetica" pitchFamily="2"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7.4652960046660832E-2"/>
          <c:y val="0.19837301587301592"/>
          <c:w val="0.90451370662000563"/>
          <c:h val="0.59197944006999126"/>
        </c:manualLayout>
      </c:layout>
      <c:barChart>
        <c:barDir val="col"/>
        <c:grouping val="clustered"/>
        <c:varyColors val="0"/>
        <c:ser>
          <c:idx val="0"/>
          <c:order val="0"/>
          <c:tx>
            <c:strRef>
              <c:f>Sheet1!$B$1</c:f>
              <c:strCache>
                <c:ptCount val="1"/>
                <c:pt idx="0">
                  <c:v>Level of Financial Literacy</c:v>
                </c:pt>
              </c:strCache>
            </c:strRef>
          </c:tx>
          <c:spPr>
            <a:solidFill>
              <a:schemeClr val="accent1"/>
            </a:solidFill>
            <a:ln>
              <a:noFill/>
            </a:ln>
            <a:effectLst/>
          </c:spPr>
          <c:invertIfNegative val="0"/>
          <c:cat>
            <c:strRef>
              <c:f>Sheet1!$A$2:$A$6</c:f>
              <c:strCache>
                <c:ptCount val="5"/>
                <c:pt idx="0">
                  <c:v>Extremely uncomfortable</c:v>
                </c:pt>
                <c:pt idx="1">
                  <c:v>Somewhat uncomfortable</c:v>
                </c:pt>
                <c:pt idx="2">
                  <c:v>Neither comfortable nor uncomfortable</c:v>
                </c:pt>
                <c:pt idx="3">
                  <c:v>Somewhat comfortable</c:v>
                </c:pt>
                <c:pt idx="4">
                  <c:v>Extremely comfortable</c:v>
                </c:pt>
              </c:strCache>
            </c:strRef>
          </c:cat>
          <c:val>
            <c:numRef>
              <c:f>Sheet1!$B$2:$B$6</c:f>
              <c:numCache>
                <c:formatCode>0.00%</c:formatCode>
                <c:ptCount val="5"/>
                <c:pt idx="0">
                  <c:v>0.15</c:v>
                </c:pt>
                <c:pt idx="1">
                  <c:v>0.25</c:v>
                </c:pt>
                <c:pt idx="2">
                  <c:v>0.3</c:v>
                </c:pt>
                <c:pt idx="3">
                  <c:v>0.25</c:v>
                </c:pt>
                <c:pt idx="4">
                  <c:v>0.05</c:v>
                </c:pt>
              </c:numCache>
            </c:numRef>
          </c:val>
          <c:extLst>
            <c:ext xmlns:c16="http://schemas.microsoft.com/office/drawing/2014/chart" uri="{C3380CC4-5D6E-409C-BE32-E72D297353CC}">
              <c16:uniqueId val="{00000000-8C09-0846-9126-E7A7E034BC9C}"/>
            </c:ext>
          </c:extLst>
        </c:ser>
        <c:ser>
          <c:idx val="1"/>
          <c:order val="1"/>
          <c:tx>
            <c:strRef>
              <c:f>Sheet1!$C$1</c:f>
              <c:strCache>
                <c:ptCount val="1"/>
                <c:pt idx="0">
                  <c:v>Managing Money</c:v>
                </c:pt>
              </c:strCache>
            </c:strRef>
          </c:tx>
          <c:spPr>
            <a:solidFill>
              <a:schemeClr val="accent1">
                <a:lumMod val="60000"/>
                <a:lumOff val="40000"/>
              </a:schemeClr>
            </a:solidFill>
            <a:ln>
              <a:noFill/>
            </a:ln>
            <a:effectLst/>
          </c:spPr>
          <c:invertIfNegative val="0"/>
          <c:cat>
            <c:strRef>
              <c:f>Sheet1!$A$2:$A$6</c:f>
              <c:strCache>
                <c:ptCount val="5"/>
                <c:pt idx="0">
                  <c:v>Extremely uncomfortable</c:v>
                </c:pt>
                <c:pt idx="1">
                  <c:v>Somewhat uncomfortable</c:v>
                </c:pt>
                <c:pt idx="2">
                  <c:v>Neither comfortable nor uncomfortable</c:v>
                </c:pt>
                <c:pt idx="3">
                  <c:v>Somewhat comfortable</c:v>
                </c:pt>
                <c:pt idx="4">
                  <c:v>Extremely comfortable</c:v>
                </c:pt>
              </c:strCache>
            </c:strRef>
          </c:cat>
          <c:val>
            <c:numRef>
              <c:f>Sheet1!$C$2:$C$6</c:f>
              <c:numCache>
                <c:formatCode>General</c:formatCode>
                <c:ptCount val="5"/>
                <c:pt idx="0">
                  <c:v>0.15</c:v>
                </c:pt>
                <c:pt idx="1">
                  <c:v>0.3</c:v>
                </c:pt>
                <c:pt idx="2">
                  <c:v>0.25</c:v>
                </c:pt>
                <c:pt idx="3">
                  <c:v>0.2</c:v>
                </c:pt>
                <c:pt idx="4">
                  <c:v>0.1</c:v>
                </c:pt>
              </c:numCache>
            </c:numRef>
          </c:val>
          <c:extLst>
            <c:ext xmlns:c16="http://schemas.microsoft.com/office/drawing/2014/chart" uri="{C3380CC4-5D6E-409C-BE32-E72D297353CC}">
              <c16:uniqueId val="{00000001-8C09-0846-9126-E7A7E034BC9C}"/>
            </c:ext>
          </c:extLst>
        </c:ser>
        <c:dLbls>
          <c:showLegendKey val="0"/>
          <c:showVal val="0"/>
          <c:showCatName val="0"/>
          <c:showSerName val="0"/>
          <c:showPercent val="0"/>
          <c:showBubbleSize val="0"/>
        </c:dLbls>
        <c:gapWidth val="219"/>
        <c:overlap val="-27"/>
        <c:axId val="2134725647"/>
        <c:axId val="1944954111"/>
      </c:barChart>
      <c:catAx>
        <c:axId val="213472564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5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crossAx val="1944954111"/>
        <c:crosses val="autoZero"/>
        <c:auto val="1"/>
        <c:lblAlgn val="ctr"/>
        <c:lblOffset val="100"/>
        <c:noMultiLvlLbl val="0"/>
      </c:catAx>
      <c:valAx>
        <c:axId val="1944954111"/>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crossAx val="213472564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85000"/>
                  <a:lumOff val="1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100" b="0" i="1">
                <a:solidFill>
                  <a:schemeClr val="tx1"/>
                </a:solidFill>
                <a:latin typeface="Helvetica" pitchFamily="2" charset="0"/>
              </a:rPr>
              <a:t>Student</a:t>
            </a:r>
            <a:r>
              <a:rPr lang="en-US" sz="1100" b="0" i="1" baseline="0">
                <a:solidFill>
                  <a:schemeClr val="tx1"/>
                </a:solidFill>
                <a:latin typeface="Helvetica" pitchFamily="2" charset="0"/>
              </a:rPr>
              <a:t> familiarity with basic financial terminology</a:t>
            </a:r>
            <a:endParaRPr lang="en-US" sz="1100" b="0" i="1">
              <a:solidFill>
                <a:schemeClr val="tx1"/>
              </a:solidFill>
              <a:latin typeface="Helvetica" pitchFamily="2"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1205668598355899"/>
          <c:y val="0.19837301587301592"/>
          <c:w val="0.86711000233881652"/>
          <c:h val="0.63166197975253091"/>
        </c:manualLayout>
      </c:layout>
      <c:barChart>
        <c:barDir val="col"/>
        <c:grouping val="clustered"/>
        <c:varyColors val="0"/>
        <c:ser>
          <c:idx val="0"/>
          <c:order val="0"/>
          <c:spPr>
            <a:solidFill>
              <a:schemeClr val="accent1"/>
            </a:solidFill>
            <a:ln>
              <a:noFill/>
            </a:ln>
            <a:effectLst/>
          </c:spPr>
          <c:invertIfNegative val="0"/>
          <c:cat>
            <c:strRef>
              <c:f>Sheet1!$A$2:$A$7</c:f>
              <c:strCache>
                <c:ptCount val="6"/>
                <c:pt idx="0">
                  <c:v>Debt</c:v>
                </c:pt>
                <c:pt idx="1">
                  <c:v>Credit</c:v>
                </c:pt>
                <c:pt idx="2">
                  <c:v>Stocks</c:v>
                </c:pt>
                <c:pt idx="3">
                  <c:v>Bonds</c:v>
                </c:pt>
                <c:pt idx="4">
                  <c:v>Cryptocurrency</c:v>
                </c:pt>
                <c:pt idx="5">
                  <c:v>Interest Rate</c:v>
                </c:pt>
              </c:strCache>
            </c:strRef>
          </c:cat>
          <c:val>
            <c:numRef>
              <c:f>Sheet1!$B$2:$B$7</c:f>
              <c:numCache>
                <c:formatCode>0.00%</c:formatCode>
                <c:ptCount val="6"/>
                <c:pt idx="0">
                  <c:v>0.85</c:v>
                </c:pt>
                <c:pt idx="1">
                  <c:v>1</c:v>
                </c:pt>
                <c:pt idx="2">
                  <c:v>0.7</c:v>
                </c:pt>
                <c:pt idx="3">
                  <c:v>0.35</c:v>
                </c:pt>
                <c:pt idx="4">
                  <c:v>0.65</c:v>
                </c:pt>
                <c:pt idx="5">
                  <c:v>0.6</c:v>
                </c:pt>
              </c:numCache>
            </c:numRef>
          </c:val>
          <c:extLst>
            <c:ext xmlns:c15="http://schemas.microsoft.com/office/drawing/2012/chart" uri="{02D57815-91ED-43cb-92C2-25804820EDAC}">
              <c15:filteredSeriesTitle>
                <c15:tx>
                  <c:strRef>
                    <c:extLst>
                      <c:ext uri="{02D57815-91ED-43cb-92C2-25804820EDAC}">
                        <c15:formulaRef>
                          <c15:sqref>Sheet1!#REF!</c15:sqref>
                        </c15:formulaRef>
                      </c:ext>
                    </c:extLst>
                    <c:strCache>
                      <c:ptCount val="1"/>
                      <c:pt idx="0">
                        <c:v>#REF!</c:v>
                      </c:pt>
                    </c:strCache>
                  </c:strRef>
                </c15:tx>
              </c15:filteredSeriesTitle>
            </c:ext>
            <c:ext xmlns:c16="http://schemas.microsoft.com/office/drawing/2014/chart" uri="{C3380CC4-5D6E-409C-BE32-E72D297353CC}">
              <c16:uniqueId val="{00000000-4E09-704A-BC0D-7344B4037BE7}"/>
            </c:ext>
          </c:extLst>
        </c:ser>
        <c:dLbls>
          <c:showLegendKey val="0"/>
          <c:showVal val="0"/>
          <c:showCatName val="0"/>
          <c:showSerName val="0"/>
          <c:showPercent val="0"/>
          <c:showBubbleSize val="0"/>
        </c:dLbls>
        <c:gapWidth val="219"/>
        <c:overlap val="-27"/>
        <c:axId val="2134725647"/>
        <c:axId val="1944954111"/>
      </c:barChart>
      <c:catAx>
        <c:axId val="2134725647"/>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b="0" i="0">
                    <a:latin typeface="Arial" panose="020B0604020202020204" pitchFamily="34" charset="0"/>
                    <a:cs typeface="Arial" panose="020B0604020202020204" pitchFamily="34" charset="0"/>
                  </a:rPr>
                  <a:t>Finanical Term</a:t>
                </a:r>
              </a:p>
            </c:rich>
          </c:tx>
          <c:layout>
            <c:manualLayout>
              <c:xMode val="edge"/>
              <c:yMode val="edge"/>
              <c:x val="0.46627166653673235"/>
              <c:y val="0.90986282964629417"/>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5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crossAx val="1944954111"/>
        <c:crosses val="autoZero"/>
        <c:auto val="1"/>
        <c:lblAlgn val="ctr"/>
        <c:lblOffset val="100"/>
        <c:noMultiLvlLbl val="0"/>
      </c:catAx>
      <c:valAx>
        <c:axId val="1944954111"/>
        <c:scaling>
          <c:orientation val="minMax"/>
          <c:max val="1"/>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b="0" i="0">
                    <a:latin typeface="Arial" panose="020B0604020202020204" pitchFamily="34" charset="0"/>
                    <a:cs typeface="Arial" panose="020B0604020202020204" pitchFamily="34" charset="0"/>
                  </a:rPr>
                  <a:t>% familiar</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crossAx val="2134725647"/>
        <c:crosses val="autoZero"/>
        <c:crossBetween val="between"/>
        <c:majorUnit val="0.2"/>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9E434D-4D87-7246-9DE9-D6A889BF7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17</Pages>
  <Words>2299</Words>
  <Characters>13108</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WORKING TITLE</vt:lpstr>
    </vt:vector>
  </TitlesOfParts>
  <Company/>
  <LinksUpToDate>false</LinksUpToDate>
  <CharactersWithSpaces>15377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WORKING TITLE</dc:title>
  <dc:subject/>
  <dc:creator>benmax@student.ubc.ca</dc:creator>
  <cp:keywords/>
  <dc:description/>
  <cp:lastModifiedBy>benmax@student.ubc.ca</cp:lastModifiedBy>
  <cp:revision>8</cp:revision>
  <dcterms:created xsi:type="dcterms:W3CDTF">2022-03-17T06:46:00Z</dcterms:created>
  <dcterms:modified xsi:type="dcterms:W3CDTF">2022-03-22T23:07:00Z</dcterms:modified>
</cp:coreProperties>
</file>