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8CBC6" w14:textId="77777777" w:rsidR="00B22BBB" w:rsidRPr="00F347F9" w:rsidRDefault="005D1268">
      <w:pPr>
        <w:rPr>
          <w:rFonts w:asciiTheme="majorHAnsi" w:hAnsiTheme="majorHAnsi"/>
          <w:b/>
        </w:rPr>
      </w:pPr>
      <w:r w:rsidRPr="00F347F9">
        <w:rPr>
          <w:rFonts w:asciiTheme="majorHAnsi" w:hAnsiTheme="majorHAnsi"/>
          <w:b/>
        </w:rPr>
        <w:t xml:space="preserve">A Value of </w:t>
      </w:r>
      <w:r w:rsidR="001936D0">
        <w:rPr>
          <w:rFonts w:asciiTheme="majorHAnsi" w:hAnsiTheme="majorHAnsi"/>
          <w:b/>
        </w:rPr>
        <w:t>a</w:t>
      </w:r>
      <w:r w:rsidRPr="00F347F9">
        <w:rPr>
          <w:rFonts w:asciiTheme="majorHAnsi" w:hAnsiTheme="majorHAnsi"/>
          <w:b/>
        </w:rPr>
        <w:t xml:space="preserve"> Documentation Panel to Foster Reflection</w:t>
      </w:r>
    </w:p>
    <w:p w14:paraId="150E412D" w14:textId="77777777" w:rsidR="005D1268" w:rsidRPr="00F347F9" w:rsidRDefault="005D1268">
      <w:pPr>
        <w:rPr>
          <w:rFonts w:asciiTheme="majorHAnsi" w:hAnsiTheme="majorHAnsi"/>
        </w:rPr>
      </w:pPr>
    </w:p>
    <w:p w14:paraId="5EE71172" w14:textId="77777777" w:rsidR="005D1268" w:rsidRPr="00F347F9" w:rsidRDefault="005D1268">
      <w:pPr>
        <w:rPr>
          <w:rFonts w:asciiTheme="majorHAnsi" w:hAnsiTheme="majorHAnsi"/>
        </w:rPr>
      </w:pPr>
      <w:r w:rsidRPr="00F347F9">
        <w:rPr>
          <w:rFonts w:asciiTheme="majorHAnsi" w:hAnsiTheme="majorHAnsi"/>
          <w:noProof/>
        </w:rPr>
        <w:drawing>
          <wp:inline distT="0" distB="0" distL="0" distR="0" wp14:anchorId="48A79286" wp14:editId="5FAD0C26">
            <wp:extent cx="4538134" cy="17018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9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8507" cy="170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521CC" w14:textId="77777777" w:rsidR="005D1268" w:rsidRPr="00F347F9" w:rsidRDefault="005D1268" w:rsidP="005D1268">
      <w:pPr>
        <w:pStyle w:val="NoList"/>
        <w:rPr>
          <w:rFonts w:asciiTheme="majorHAnsi" w:hAnsiTheme="majorHAnsi"/>
          <w:szCs w:val="22"/>
        </w:rPr>
      </w:pPr>
    </w:p>
    <w:p w14:paraId="313E71B7" w14:textId="77777777" w:rsidR="005D1268" w:rsidRPr="00F347F9" w:rsidRDefault="005D1268" w:rsidP="005D1268">
      <w:pPr>
        <w:pStyle w:val="NoList"/>
        <w:rPr>
          <w:rFonts w:asciiTheme="majorHAnsi" w:hAnsiTheme="majorHAnsi"/>
          <w:szCs w:val="22"/>
        </w:rPr>
      </w:pPr>
      <w:r w:rsidRPr="00F347F9">
        <w:rPr>
          <w:rFonts w:asciiTheme="majorHAnsi" w:hAnsiTheme="majorHAnsi"/>
          <w:szCs w:val="22"/>
        </w:rPr>
        <w:t>Each group is asked to create a documentation panel to record and foster reflection on the</w:t>
      </w:r>
      <w:r w:rsidR="001936D0">
        <w:rPr>
          <w:rFonts w:asciiTheme="majorHAnsi" w:hAnsiTheme="majorHAnsi"/>
          <w:szCs w:val="22"/>
        </w:rPr>
        <w:t>ir</w:t>
      </w:r>
      <w:r w:rsidRPr="00F347F9">
        <w:rPr>
          <w:rFonts w:asciiTheme="majorHAnsi" w:hAnsiTheme="majorHAnsi"/>
          <w:szCs w:val="22"/>
        </w:rPr>
        <w:t xml:space="preserve"> design </w:t>
      </w:r>
      <w:r w:rsidR="00335F98">
        <w:rPr>
          <w:rFonts w:asciiTheme="majorHAnsi" w:hAnsiTheme="majorHAnsi"/>
          <w:szCs w:val="22"/>
        </w:rPr>
        <w:t xml:space="preserve">thinking, tinkering, and making </w:t>
      </w:r>
      <w:r w:rsidRPr="00F347F9">
        <w:rPr>
          <w:rFonts w:asciiTheme="majorHAnsi" w:hAnsiTheme="majorHAnsi"/>
          <w:szCs w:val="22"/>
        </w:rPr>
        <w:t xml:space="preserve">process.  We view making the panel as a way </w:t>
      </w:r>
      <w:r w:rsidR="001936D0">
        <w:rPr>
          <w:rFonts w:asciiTheme="majorHAnsi" w:hAnsiTheme="majorHAnsi"/>
          <w:szCs w:val="22"/>
        </w:rPr>
        <w:t xml:space="preserve">of </w:t>
      </w:r>
      <w:r w:rsidRPr="00F347F9">
        <w:rPr>
          <w:rFonts w:asciiTheme="majorHAnsi" w:hAnsiTheme="majorHAnsi"/>
          <w:szCs w:val="22"/>
        </w:rPr>
        <w:t>help</w:t>
      </w:r>
      <w:r w:rsidR="001936D0">
        <w:rPr>
          <w:rFonts w:asciiTheme="majorHAnsi" w:hAnsiTheme="majorHAnsi"/>
          <w:szCs w:val="22"/>
        </w:rPr>
        <w:t>ing to</w:t>
      </w:r>
      <w:r w:rsidRPr="00F347F9">
        <w:rPr>
          <w:rFonts w:asciiTheme="majorHAnsi" w:hAnsiTheme="majorHAnsi"/>
          <w:szCs w:val="22"/>
        </w:rPr>
        <w:t xml:space="preserve"> make the group’s “thinking visible” (Eisner, 1998).  For many of you, documentation aligns with the Reggio Emilia approach (</w:t>
      </w:r>
      <w:hyperlink r:id="rId7" w:history="1">
        <w:r w:rsidRPr="00F347F9">
          <w:rPr>
            <w:rStyle w:val="Hyperlink"/>
            <w:rFonts w:asciiTheme="majorHAnsi" w:hAnsiTheme="majorHAnsi"/>
            <w:szCs w:val="22"/>
          </w:rPr>
          <w:t>http://ecrp.uiuc.edu/v13n2/wien.html</w:t>
        </w:r>
      </w:hyperlink>
      <w:r w:rsidRPr="00F347F9">
        <w:rPr>
          <w:rFonts w:asciiTheme="majorHAnsi" w:hAnsiTheme="majorHAnsi"/>
          <w:szCs w:val="22"/>
        </w:rPr>
        <w:t>) which views documentation as a type of design process.  It</w:t>
      </w:r>
      <w:r w:rsidR="001936D0">
        <w:rPr>
          <w:rFonts w:asciiTheme="majorHAnsi" w:hAnsiTheme="majorHAnsi"/>
          <w:szCs w:val="22"/>
        </w:rPr>
        <w:t xml:space="preserve"> suggests documenting a</w:t>
      </w:r>
      <w:r w:rsidRPr="00F347F9">
        <w:rPr>
          <w:rFonts w:asciiTheme="majorHAnsi" w:hAnsiTheme="majorHAnsi"/>
          <w:szCs w:val="22"/>
        </w:rPr>
        <w:t>s a visua</w:t>
      </w:r>
      <w:r w:rsidR="001936D0">
        <w:rPr>
          <w:rFonts w:asciiTheme="majorHAnsi" w:hAnsiTheme="majorHAnsi"/>
          <w:szCs w:val="22"/>
        </w:rPr>
        <w:t>l way of capturing</w:t>
      </w:r>
      <w:r w:rsidRPr="00F347F9">
        <w:rPr>
          <w:rFonts w:asciiTheme="majorHAnsi" w:hAnsiTheme="majorHAnsi"/>
          <w:szCs w:val="22"/>
        </w:rPr>
        <w:t xml:space="preserve"> thinking and learning activities and inviting discussion about what is collected and how it is portrayed on the panel.</w:t>
      </w:r>
      <w:r w:rsidR="001936D0">
        <w:rPr>
          <w:rFonts w:asciiTheme="majorHAnsi" w:hAnsiTheme="majorHAnsi"/>
          <w:szCs w:val="22"/>
        </w:rPr>
        <w:t xml:space="preserve">  This form of curating content supports the reflective practice that is so important for educators</w:t>
      </w:r>
      <w:r w:rsidR="00335F98">
        <w:rPr>
          <w:rFonts w:asciiTheme="majorHAnsi" w:hAnsiTheme="majorHAnsi"/>
          <w:szCs w:val="22"/>
        </w:rPr>
        <w:t xml:space="preserve"> during professional development activities</w:t>
      </w:r>
      <w:bookmarkStart w:id="0" w:name="_GoBack"/>
      <w:bookmarkEnd w:id="0"/>
      <w:r w:rsidR="001936D0">
        <w:rPr>
          <w:rFonts w:asciiTheme="majorHAnsi" w:hAnsiTheme="majorHAnsi"/>
          <w:szCs w:val="22"/>
        </w:rPr>
        <w:t>.</w:t>
      </w:r>
    </w:p>
    <w:p w14:paraId="439D54D1" w14:textId="77777777" w:rsidR="005D1268" w:rsidRPr="00F347F9" w:rsidRDefault="005D1268" w:rsidP="005D1268">
      <w:pPr>
        <w:pStyle w:val="NoList"/>
        <w:rPr>
          <w:rFonts w:asciiTheme="majorHAnsi" w:hAnsiTheme="majorHAnsi"/>
          <w:szCs w:val="22"/>
        </w:rPr>
      </w:pPr>
    </w:p>
    <w:p w14:paraId="05CBBFE1" w14:textId="77777777" w:rsidR="005D1268" w:rsidRPr="00F347F9" w:rsidRDefault="005D1268" w:rsidP="005D1268">
      <w:pPr>
        <w:pStyle w:val="NoList"/>
        <w:rPr>
          <w:rFonts w:asciiTheme="majorHAnsi" w:hAnsiTheme="majorHAnsi"/>
          <w:szCs w:val="22"/>
        </w:rPr>
      </w:pPr>
      <w:r w:rsidRPr="00F347F9">
        <w:rPr>
          <w:rFonts w:asciiTheme="majorHAnsi" w:hAnsiTheme="majorHAnsi"/>
          <w:szCs w:val="22"/>
        </w:rPr>
        <w:t xml:space="preserve">For Maker Day, we believe the panels are essential to </w:t>
      </w:r>
      <w:r w:rsidR="001936D0">
        <w:rPr>
          <w:rFonts w:asciiTheme="majorHAnsi" w:hAnsiTheme="majorHAnsi"/>
          <w:szCs w:val="22"/>
        </w:rPr>
        <w:t>support a</w:t>
      </w:r>
      <w:r w:rsidRPr="00F347F9">
        <w:rPr>
          <w:rFonts w:asciiTheme="majorHAnsi" w:hAnsiTheme="majorHAnsi"/>
          <w:szCs w:val="22"/>
        </w:rPr>
        <w:t xml:space="preserve"> group’s progress through the design thinking process: </w:t>
      </w:r>
      <w:r w:rsidRPr="00F347F9">
        <w:rPr>
          <w:rFonts w:asciiTheme="majorHAnsi" w:hAnsiTheme="majorHAnsi"/>
          <w:i/>
          <w:szCs w:val="22"/>
        </w:rPr>
        <w:t xml:space="preserve">define, research, ideate, prototype, choose, implement, </w:t>
      </w:r>
      <w:r w:rsidRPr="00F347F9">
        <w:rPr>
          <w:rFonts w:asciiTheme="majorHAnsi" w:hAnsiTheme="majorHAnsi"/>
          <w:szCs w:val="22"/>
        </w:rPr>
        <w:t>and</w:t>
      </w:r>
      <w:r w:rsidRPr="00F347F9">
        <w:rPr>
          <w:rFonts w:asciiTheme="majorHAnsi" w:hAnsiTheme="majorHAnsi"/>
          <w:i/>
          <w:szCs w:val="22"/>
        </w:rPr>
        <w:t xml:space="preserve"> learn</w:t>
      </w:r>
      <w:r w:rsidRPr="00F347F9">
        <w:rPr>
          <w:rFonts w:asciiTheme="majorHAnsi" w:hAnsiTheme="majorHAnsi"/>
          <w:szCs w:val="22"/>
        </w:rPr>
        <w:t>.</w:t>
      </w:r>
    </w:p>
    <w:p w14:paraId="748CC811" w14:textId="77777777" w:rsidR="005D1268" w:rsidRPr="00F347F9" w:rsidRDefault="005D1268" w:rsidP="005D1268">
      <w:pPr>
        <w:pStyle w:val="NoList"/>
        <w:ind w:left="720"/>
        <w:rPr>
          <w:rFonts w:asciiTheme="majorHAnsi" w:hAnsiTheme="majorHAnsi"/>
          <w:szCs w:val="22"/>
        </w:rPr>
      </w:pPr>
    </w:p>
    <w:p w14:paraId="57E43042" w14:textId="77777777" w:rsidR="005D1268" w:rsidRDefault="005D1268" w:rsidP="005D1268">
      <w:pPr>
        <w:pStyle w:val="NoList"/>
        <w:rPr>
          <w:rFonts w:asciiTheme="majorHAnsi" w:hAnsiTheme="majorHAnsi"/>
          <w:szCs w:val="22"/>
        </w:rPr>
      </w:pPr>
      <w:r w:rsidRPr="00F347F9">
        <w:rPr>
          <w:rFonts w:asciiTheme="majorHAnsi" w:hAnsiTheme="majorHAnsi"/>
          <w:szCs w:val="22"/>
        </w:rPr>
        <w:t xml:space="preserve">While each group should be encouraged to exercise </w:t>
      </w:r>
      <w:r w:rsidR="00335F98">
        <w:rPr>
          <w:rFonts w:asciiTheme="majorHAnsi" w:hAnsiTheme="majorHAnsi"/>
          <w:szCs w:val="22"/>
        </w:rPr>
        <w:t xml:space="preserve">their </w:t>
      </w:r>
      <w:r w:rsidRPr="00F347F9">
        <w:rPr>
          <w:rFonts w:asciiTheme="majorHAnsi" w:hAnsiTheme="majorHAnsi"/>
          <w:szCs w:val="22"/>
        </w:rPr>
        <w:t>creative license in the production of their panel, we sugge</w:t>
      </w:r>
      <w:r w:rsidR="00335F98">
        <w:rPr>
          <w:rFonts w:asciiTheme="majorHAnsi" w:hAnsiTheme="majorHAnsi"/>
          <w:szCs w:val="22"/>
        </w:rPr>
        <w:t>st that each panel should have a</w:t>
      </w:r>
      <w:r w:rsidRPr="00F347F9">
        <w:rPr>
          <w:rFonts w:asciiTheme="majorHAnsi" w:hAnsiTheme="majorHAnsi"/>
          <w:szCs w:val="22"/>
        </w:rPr>
        <w:t xml:space="preserve"> </w:t>
      </w:r>
      <w:r w:rsidR="00335F98">
        <w:rPr>
          <w:rFonts w:asciiTheme="majorHAnsi" w:hAnsiTheme="majorHAnsi"/>
          <w:szCs w:val="22"/>
        </w:rPr>
        <w:t>minimum of three components.  To</w:t>
      </w:r>
      <w:r w:rsidRPr="00F347F9">
        <w:rPr>
          <w:rFonts w:asciiTheme="majorHAnsi" w:hAnsiTheme="majorHAnsi"/>
          <w:szCs w:val="22"/>
        </w:rPr>
        <w:t xml:space="preserve"> facilitate </w:t>
      </w:r>
      <w:r w:rsidR="00335F98">
        <w:rPr>
          <w:rFonts w:asciiTheme="majorHAnsi" w:hAnsiTheme="majorHAnsi"/>
          <w:szCs w:val="22"/>
        </w:rPr>
        <w:t>the</w:t>
      </w:r>
      <w:r w:rsidRPr="00F347F9">
        <w:rPr>
          <w:rFonts w:asciiTheme="majorHAnsi" w:hAnsiTheme="majorHAnsi"/>
          <w:szCs w:val="22"/>
        </w:rPr>
        <w:t xml:space="preserve"> panel design, we suggest purchasing the cardboard, trifold display panels from a store such as Staples.  Because of the short timeframe available to make the panel, we</w:t>
      </w:r>
      <w:r w:rsidR="00CC43C8" w:rsidRPr="00F347F9">
        <w:rPr>
          <w:rFonts w:asciiTheme="majorHAnsi" w:hAnsiTheme="majorHAnsi"/>
          <w:szCs w:val="22"/>
        </w:rPr>
        <w:t xml:space="preserve"> c</w:t>
      </w:r>
      <w:r w:rsidRPr="00F347F9">
        <w:rPr>
          <w:rFonts w:asciiTheme="majorHAnsi" w:hAnsiTheme="majorHAnsi"/>
          <w:szCs w:val="22"/>
        </w:rPr>
        <w:t xml:space="preserve">ut each trifold </w:t>
      </w:r>
      <w:r w:rsidR="00CC43C8" w:rsidRPr="00F347F9">
        <w:rPr>
          <w:rFonts w:asciiTheme="majorHAnsi" w:hAnsiTheme="majorHAnsi"/>
          <w:szCs w:val="22"/>
        </w:rPr>
        <w:t>in half, horizontally</w:t>
      </w:r>
      <w:r w:rsidR="00335F98">
        <w:rPr>
          <w:rFonts w:asciiTheme="majorHAnsi" w:hAnsiTheme="majorHAnsi"/>
          <w:szCs w:val="22"/>
        </w:rPr>
        <w:t>,</w:t>
      </w:r>
      <w:r w:rsidR="00CC43C8" w:rsidRPr="00F347F9">
        <w:rPr>
          <w:rFonts w:asciiTheme="majorHAnsi" w:hAnsiTheme="majorHAnsi"/>
          <w:szCs w:val="22"/>
        </w:rPr>
        <w:t xml:space="preserve"> and found </w:t>
      </w:r>
      <w:r w:rsidR="00335F98">
        <w:rPr>
          <w:rFonts w:asciiTheme="majorHAnsi" w:hAnsiTheme="majorHAnsi"/>
          <w:szCs w:val="22"/>
        </w:rPr>
        <w:t xml:space="preserve">that </w:t>
      </w:r>
      <w:r w:rsidR="00CC43C8" w:rsidRPr="00F347F9">
        <w:rPr>
          <w:rFonts w:asciiTheme="majorHAnsi" w:hAnsiTheme="majorHAnsi"/>
          <w:szCs w:val="22"/>
        </w:rPr>
        <w:t xml:space="preserve">groups had adequate space to document their work.  </w:t>
      </w:r>
    </w:p>
    <w:p w14:paraId="681C2605" w14:textId="77777777" w:rsidR="00335F98" w:rsidRPr="00F347F9" w:rsidRDefault="00335F98" w:rsidP="005D1268">
      <w:pPr>
        <w:pStyle w:val="NoList"/>
        <w:rPr>
          <w:rFonts w:asciiTheme="majorHAnsi" w:hAnsiTheme="majorHAnsi"/>
          <w:szCs w:val="22"/>
        </w:rPr>
      </w:pPr>
    </w:p>
    <w:p w14:paraId="1AEB8A0D" w14:textId="77777777" w:rsidR="005D1268" w:rsidRPr="00F347F9" w:rsidRDefault="005D1268" w:rsidP="00CC43C8">
      <w:pPr>
        <w:pStyle w:val="NoList"/>
        <w:rPr>
          <w:rFonts w:asciiTheme="majorHAnsi" w:hAnsiTheme="majorHAnsi"/>
          <w:szCs w:val="22"/>
        </w:rPr>
      </w:pPr>
    </w:p>
    <w:p w14:paraId="591BCE57" w14:textId="77777777" w:rsidR="00CC43C8" w:rsidRPr="00F347F9" w:rsidRDefault="00F347F9" w:rsidP="00CC43C8">
      <w:pPr>
        <w:pStyle w:val="NoList"/>
        <w:rPr>
          <w:rFonts w:asciiTheme="majorHAnsi" w:hAnsiTheme="majorHAnsi"/>
          <w:szCs w:val="22"/>
        </w:rPr>
      </w:pPr>
      <w:r w:rsidRPr="00F347F9">
        <w:rPr>
          <w:rFonts w:asciiTheme="majorHAnsi" w:hAnsiTheme="majorHAnsi"/>
          <w:noProof/>
          <w:szCs w:val="22"/>
        </w:rPr>
        <w:drawing>
          <wp:inline distT="0" distB="0" distL="0" distR="0" wp14:anchorId="0CB7F61C" wp14:editId="08693DA8">
            <wp:extent cx="4064000" cy="1549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8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7D399" w14:textId="77777777" w:rsidR="00F347F9" w:rsidRPr="00F347F9" w:rsidRDefault="00F347F9" w:rsidP="00CC43C8">
      <w:pPr>
        <w:pStyle w:val="NoList"/>
        <w:rPr>
          <w:rFonts w:asciiTheme="majorHAnsi" w:hAnsiTheme="majorHAnsi"/>
          <w:szCs w:val="22"/>
        </w:rPr>
      </w:pPr>
    </w:p>
    <w:p w14:paraId="7F0D4EF3" w14:textId="77777777" w:rsidR="00CC43C8" w:rsidRPr="00F347F9" w:rsidRDefault="00CC43C8" w:rsidP="00CC43C8">
      <w:pPr>
        <w:pStyle w:val="NoList"/>
        <w:rPr>
          <w:rFonts w:asciiTheme="majorHAnsi" w:hAnsiTheme="majorHAnsi"/>
          <w:szCs w:val="22"/>
        </w:rPr>
      </w:pPr>
      <w:r w:rsidRPr="00F347F9">
        <w:rPr>
          <w:rFonts w:asciiTheme="majorHAnsi" w:hAnsiTheme="majorHAnsi"/>
          <w:szCs w:val="22"/>
        </w:rPr>
        <w:lastRenderedPageBreak/>
        <w:t>Suggested panel structure:</w:t>
      </w:r>
    </w:p>
    <w:p w14:paraId="3C9AAD39" w14:textId="77777777" w:rsidR="005D1268" w:rsidRPr="00F347F9" w:rsidRDefault="005D1268" w:rsidP="00CC43C8">
      <w:pPr>
        <w:pStyle w:val="NoList"/>
        <w:numPr>
          <w:ilvl w:val="0"/>
          <w:numId w:val="2"/>
        </w:numPr>
        <w:rPr>
          <w:rFonts w:asciiTheme="majorHAnsi" w:hAnsiTheme="majorHAnsi"/>
          <w:szCs w:val="22"/>
        </w:rPr>
      </w:pPr>
      <w:r w:rsidRPr="00F347F9">
        <w:rPr>
          <w:rFonts w:asciiTheme="majorHAnsi" w:hAnsiTheme="majorHAnsi"/>
          <w:szCs w:val="22"/>
        </w:rPr>
        <w:t xml:space="preserve">1 panel should annotate the group’s copy / version of the Maker Manifesto </w:t>
      </w:r>
    </w:p>
    <w:p w14:paraId="14F441BF" w14:textId="77777777" w:rsidR="005D1268" w:rsidRPr="00335F98" w:rsidRDefault="005D1268" w:rsidP="00335F98">
      <w:pPr>
        <w:pStyle w:val="NoList"/>
        <w:numPr>
          <w:ilvl w:val="0"/>
          <w:numId w:val="2"/>
        </w:numPr>
        <w:rPr>
          <w:rFonts w:asciiTheme="majorHAnsi" w:hAnsiTheme="majorHAnsi"/>
          <w:szCs w:val="22"/>
        </w:rPr>
      </w:pPr>
      <w:r w:rsidRPr="00F347F9">
        <w:rPr>
          <w:rFonts w:asciiTheme="majorHAnsi" w:hAnsiTheme="majorHAnsi"/>
          <w:szCs w:val="22"/>
        </w:rPr>
        <w:t xml:space="preserve">1 panel should elaborate on </w:t>
      </w:r>
      <w:r w:rsidR="00335F98">
        <w:rPr>
          <w:rFonts w:asciiTheme="majorHAnsi" w:hAnsiTheme="majorHAnsi"/>
          <w:szCs w:val="22"/>
        </w:rPr>
        <w:t>the group’s</w:t>
      </w:r>
      <w:r w:rsidRPr="00335F98">
        <w:rPr>
          <w:rFonts w:asciiTheme="majorHAnsi" w:hAnsiTheme="majorHAnsi"/>
          <w:szCs w:val="22"/>
        </w:rPr>
        <w:t xml:space="preserve"> design process / prototype</w:t>
      </w:r>
    </w:p>
    <w:p w14:paraId="798AEE49" w14:textId="77777777" w:rsidR="005D1268" w:rsidRPr="00F347F9" w:rsidRDefault="005D1268" w:rsidP="00CC43C8">
      <w:pPr>
        <w:pStyle w:val="NoList"/>
        <w:numPr>
          <w:ilvl w:val="0"/>
          <w:numId w:val="2"/>
        </w:numPr>
        <w:rPr>
          <w:rFonts w:asciiTheme="majorHAnsi" w:hAnsiTheme="majorHAnsi"/>
          <w:szCs w:val="22"/>
        </w:rPr>
      </w:pPr>
      <w:r w:rsidRPr="00F347F9">
        <w:rPr>
          <w:rFonts w:asciiTheme="majorHAnsi" w:hAnsiTheme="majorHAnsi"/>
          <w:szCs w:val="22"/>
        </w:rPr>
        <w:t xml:space="preserve">1 panel should share how </w:t>
      </w:r>
      <w:r w:rsidR="00335F98">
        <w:rPr>
          <w:rFonts w:asciiTheme="majorHAnsi" w:hAnsiTheme="majorHAnsi"/>
          <w:szCs w:val="22"/>
        </w:rPr>
        <w:t xml:space="preserve">the </w:t>
      </w:r>
      <w:r w:rsidRPr="00F347F9">
        <w:rPr>
          <w:rFonts w:asciiTheme="majorHAnsi" w:hAnsiTheme="majorHAnsi"/>
          <w:szCs w:val="22"/>
        </w:rPr>
        <w:t xml:space="preserve">group imagines </w:t>
      </w:r>
      <w:r w:rsidR="00335F98">
        <w:rPr>
          <w:rFonts w:asciiTheme="majorHAnsi" w:hAnsiTheme="majorHAnsi"/>
          <w:szCs w:val="22"/>
        </w:rPr>
        <w:t>they</w:t>
      </w:r>
      <w:r w:rsidRPr="00F347F9">
        <w:rPr>
          <w:rFonts w:asciiTheme="majorHAnsi" w:hAnsiTheme="majorHAnsi"/>
          <w:szCs w:val="22"/>
        </w:rPr>
        <w:t xml:space="preserve"> could integrate Design Thinking and Making in their professional practices in their schools</w:t>
      </w:r>
    </w:p>
    <w:p w14:paraId="61E465AC" w14:textId="77777777" w:rsidR="00F347F9" w:rsidRPr="00F347F9" w:rsidRDefault="00F347F9" w:rsidP="00F347F9">
      <w:pPr>
        <w:pStyle w:val="NoList"/>
        <w:rPr>
          <w:rFonts w:asciiTheme="majorHAnsi" w:hAnsiTheme="majorHAnsi"/>
          <w:szCs w:val="22"/>
        </w:rPr>
      </w:pPr>
    </w:p>
    <w:p w14:paraId="121D5AC4" w14:textId="77777777" w:rsidR="00F347F9" w:rsidRPr="00F347F9" w:rsidRDefault="00F347F9" w:rsidP="00F347F9">
      <w:pPr>
        <w:pStyle w:val="NoList"/>
        <w:rPr>
          <w:rFonts w:asciiTheme="majorHAnsi" w:hAnsiTheme="majorHAnsi"/>
          <w:szCs w:val="22"/>
        </w:rPr>
      </w:pPr>
      <w:r w:rsidRPr="00F347F9">
        <w:rPr>
          <w:rFonts w:asciiTheme="majorHAnsi" w:hAnsiTheme="majorHAnsi"/>
          <w:noProof/>
          <w:szCs w:val="22"/>
        </w:rPr>
        <w:drawing>
          <wp:inline distT="0" distB="0" distL="0" distR="0" wp14:anchorId="486F1353" wp14:editId="684520F4">
            <wp:extent cx="4064000" cy="1625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8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FDE88" w14:textId="77777777" w:rsidR="005D1268" w:rsidRDefault="005D1268">
      <w:pPr>
        <w:rPr>
          <w:rFonts w:asciiTheme="majorHAnsi" w:hAnsiTheme="majorHAnsi"/>
        </w:rPr>
      </w:pPr>
    </w:p>
    <w:p w14:paraId="4678CC44" w14:textId="77777777" w:rsidR="001936D0" w:rsidRDefault="001936D0">
      <w:pPr>
        <w:rPr>
          <w:rFonts w:asciiTheme="majorHAnsi" w:hAnsiTheme="majorHAnsi"/>
        </w:rPr>
      </w:pPr>
      <w:r>
        <w:rPr>
          <w:rFonts w:asciiTheme="majorHAnsi" w:hAnsiTheme="majorHAnsi"/>
        </w:rPr>
        <w:t>Reference</w:t>
      </w:r>
    </w:p>
    <w:p w14:paraId="234123C6" w14:textId="77777777" w:rsidR="001936D0" w:rsidRDefault="001936D0">
      <w:pPr>
        <w:rPr>
          <w:rFonts w:asciiTheme="majorHAnsi" w:hAnsiTheme="majorHAnsi"/>
        </w:rPr>
      </w:pPr>
    </w:p>
    <w:p w14:paraId="150618F5" w14:textId="77777777" w:rsidR="001936D0" w:rsidRDefault="001936D0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Eisner, E. (1998).</w:t>
      </w:r>
      <w:proofErr w:type="gramEnd"/>
      <w:r>
        <w:rPr>
          <w:rFonts w:asciiTheme="majorHAnsi" w:hAnsiTheme="majorHAnsi"/>
        </w:rPr>
        <w:t xml:space="preserve"> The kind of schools we need: Personal essays.  Portsmouth, </w:t>
      </w:r>
      <w:proofErr w:type="spellStart"/>
      <w:r>
        <w:rPr>
          <w:rFonts w:asciiTheme="majorHAnsi" w:hAnsiTheme="majorHAnsi"/>
        </w:rPr>
        <w:t>NH</w:t>
      </w:r>
      <w:proofErr w:type="gramStart"/>
      <w:r>
        <w:rPr>
          <w:rFonts w:asciiTheme="majorHAnsi" w:hAnsiTheme="majorHAnsi"/>
        </w:rPr>
        <w:t>:Heinemann</w:t>
      </w:r>
      <w:proofErr w:type="spellEnd"/>
      <w:proofErr w:type="gramEnd"/>
    </w:p>
    <w:p w14:paraId="25F8210F" w14:textId="77777777" w:rsidR="001936D0" w:rsidRDefault="001936D0">
      <w:pPr>
        <w:rPr>
          <w:rFonts w:asciiTheme="majorHAnsi" w:hAnsiTheme="majorHAnsi"/>
        </w:rPr>
      </w:pPr>
    </w:p>
    <w:p w14:paraId="3B18FCD0" w14:textId="77777777" w:rsidR="001936D0" w:rsidRPr="001936D0" w:rsidRDefault="001936D0">
      <w:pPr>
        <w:rPr>
          <w:rFonts w:asciiTheme="majorHAnsi" w:hAnsiTheme="majorHAnsi"/>
        </w:rPr>
      </w:pPr>
      <w:proofErr w:type="gramStart"/>
      <w:r w:rsidRPr="001936D0">
        <w:rPr>
          <w:rFonts w:asciiTheme="majorHAnsi" w:hAnsiTheme="majorHAnsi"/>
        </w:rPr>
        <w:t xml:space="preserve">Wine, C., </w:t>
      </w:r>
      <w:proofErr w:type="spellStart"/>
      <w:r w:rsidRPr="001936D0">
        <w:rPr>
          <w:rStyle w:val="Strong"/>
          <w:rFonts w:asciiTheme="majorHAnsi" w:eastAsia="Times New Roman" w:hAnsiTheme="majorHAnsi" w:cs="Times New Roman"/>
          <w:b w:val="0"/>
        </w:rPr>
        <w:t>Guyevskey</w:t>
      </w:r>
      <w:proofErr w:type="spellEnd"/>
      <w:r w:rsidRPr="001936D0">
        <w:rPr>
          <w:rStyle w:val="paper-author-top"/>
          <w:rFonts w:asciiTheme="majorHAnsi" w:eastAsia="Times New Roman" w:hAnsiTheme="majorHAnsi" w:cs="Times New Roman"/>
        </w:rPr>
        <w:t xml:space="preserve">, V., &amp; </w:t>
      </w:r>
      <w:proofErr w:type="spellStart"/>
      <w:r w:rsidRPr="001936D0">
        <w:rPr>
          <w:rStyle w:val="Strong"/>
          <w:rFonts w:asciiTheme="majorHAnsi" w:eastAsia="Times New Roman" w:hAnsiTheme="majorHAnsi" w:cs="Times New Roman"/>
          <w:b w:val="0"/>
        </w:rPr>
        <w:t>Berdoussis</w:t>
      </w:r>
      <w:proofErr w:type="spellEnd"/>
      <w:r w:rsidRPr="001936D0">
        <w:rPr>
          <w:rStyle w:val="Strong"/>
          <w:rFonts w:asciiTheme="majorHAnsi" w:eastAsia="Times New Roman" w:hAnsiTheme="majorHAnsi" w:cs="Times New Roman"/>
          <w:b w:val="0"/>
        </w:rPr>
        <w:t>, N.</w:t>
      </w:r>
      <w:proofErr w:type="gramEnd"/>
      <w:r w:rsidRPr="001936D0">
        <w:rPr>
          <w:rStyle w:val="Strong"/>
          <w:rFonts w:asciiTheme="majorHAnsi" w:eastAsia="Times New Roman" w:hAnsiTheme="majorHAnsi" w:cs="Times New Roman"/>
          <w:b w:val="0"/>
        </w:rPr>
        <w:t xml:space="preserve">  (2011).</w:t>
      </w:r>
      <w:r w:rsidRPr="001936D0">
        <w:rPr>
          <w:rStyle w:val="Strong"/>
          <w:rFonts w:asciiTheme="majorHAnsi" w:eastAsia="Times New Roman" w:hAnsiTheme="majorHAnsi" w:cs="Times New Roman"/>
        </w:rPr>
        <w:t xml:space="preserve"> </w:t>
      </w:r>
      <w:r w:rsidRPr="001936D0">
        <w:rPr>
          <w:rStyle w:val="paper-title"/>
          <w:rFonts w:asciiTheme="majorHAnsi" w:eastAsia="Times New Roman" w:hAnsiTheme="majorHAnsi" w:cs="Times New Roman"/>
        </w:rPr>
        <w:t xml:space="preserve">Learning to Document in Reggio-inspired Education. </w:t>
      </w:r>
      <w:r w:rsidRPr="001936D0">
        <w:rPr>
          <w:rStyle w:val="Strong"/>
          <w:rFonts w:asciiTheme="majorHAnsi" w:eastAsia="Times New Roman" w:hAnsiTheme="majorHAnsi" w:cs="Times New Roman"/>
        </w:rPr>
        <w:t xml:space="preserve"> </w:t>
      </w:r>
      <w:r w:rsidRPr="001936D0">
        <w:rPr>
          <w:rStyle w:val="Strong"/>
          <w:rFonts w:asciiTheme="majorHAnsi" w:eastAsia="Times New Roman" w:hAnsiTheme="majorHAnsi" w:cs="Times New Roman"/>
          <w:b w:val="0"/>
        </w:rPr>
        <w:t>Retrieved from</w:t>
      </w:r>
      <w:r w:rsidRPr="001936D0">
        <w:rPr>
          <w:rStyle w:val="Strong"/>
          <w:rFonts w:asciiTheme="majorHAnsi" w:eastAsia="Times New Roman" w:hAnsiTheme="majorHAnsi" w:cs="Times New Roman"/>
        </w:rPr>
        <w:t xml:space="preserve"> </w:t>
      </w:r>
      <w:r w:rsidRPr="001936D0">
        <w:rPr>
          <w:rStyle w:val="paper-title"/>
          <w:rFonts w:asciiTheme="majorHAnsi" w:eastAsia="Times New Roman" w:hAnsiTheme="majorHAnsi" w:cs="Times New Roman"/>
        </w:rPr>
        <w:t>http://ecrp.uiuc.edu/v13n2/wien.html</w:t>
      </w:r>
    </w:p>
    <w:sectPr w:rsidR="001936D0" w:rsidRPr="001936D0" w:rsidSect="006C16C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B6CC5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FFFFFFFF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FFFFFFFF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4196F7C"/>
    <w:multiLevelType w:val="hybridMultilevel"/>
    <w:tmpl w:val="8D68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68"/>
    <w:rsid w:val="001936D0"/>
    <w:rsid w:val="00335F98"/>
    <w:rsid w:val="005D1268"/>
    <w:rsid w:val="006C16C0"/>
    <w:rsid w:val="00B22BBB"/>
    <w:rsid w:val="00CC43C8"/>
    <w:rsid w:val="00F347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F90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2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26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1268"/>
    <w:rPr>
      <w:color w:val="0000FF" w:themeColor="hyperlink"/>
      <w:u w:val="single"/>
    </w:rPr>
  </w:style>
  <w:style w:type="character" w:customStyle="1" w:styleId="paper-title">
    <w:name w:val="paper-title"/>
    <w:basedOn w:val="DefaultParagraphFont"/>
    <w:rsid w:val="001936D0"/>
  </w:style>
  <w:style w:type="character" w:customStyle="1" w:styleId="paper-author-top">
    <w:name w:val="paper-author-top"/>
    <w:basedOn w:val="DefaultParagraphFont"/>
    <w:rsid w:val="001936D0"/>
  </w:style>
  <w:style w:type="character" w:styleId="Strong">
    <w:name w:val="Strong"/>
    <w:basedOn w:val="DefaultParagraphFont"/>
    <w:uiPriority w:val="22"/>
    <w:qFormat/>
    <w:rsid w:val="001936D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2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26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1268"/>
    <w:rPr>
      <w:color w:val="0000FF" w:themeColor="hyperlink"/>
      <w:u w:val="single"/>
    </w:rPr>
  </w:style>
  <w:style w:type="character" w:customStyle="1" w:styleId="paper-title">
    <w:name w:val="paper-title"/>
    <w:basedOn w:val="DefaultParagraphFont"/>
    <w:rsid w:val="001936D0"/>
  </w:style>
  <w:style w:type="character" w:customStyle="1" w:styleId="paper-author-top">
    <w:name w:val="paper-author-top"/>
    <w:basedOn w:val="DefaultParagraphFont"/>
    <w:rsid w:val="001936D0"/>
  </w:style>
  <w:style w:type="character" w:styleId="Strong">
    <w:name w:val="Strong"/>
    <w:basedOn w:val="DefaultParagraphFont"/>
    <w:uiPriority w:val="22"/>
    <w:qFormat/>
    <w:rsid w:val="00193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ecrp.uiuc.edu/v13n2/wien.html" TargetMode="External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308</Words>
  <Characters>1761</Characters>
  <Application>Microsoft Macintosh Word</Application>
  <DocSecurity>0</DocSecurity>
  <Lines>14</Lines>
  <Paragraphs>4</Paragraphs>
  <ScaleCrop>false</ScaleCrop>
  <Company>University of British Columbia - Okanagan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UBCO User</dc:creator>
  <cp:keywords/>
  <dc:description/>
  <cp:lastModifiedBy>UBCO User</cp:lastModifiedBy>
  <cp:revision>3</cp:revision>
  <dcterms:created xsi:type="dcterms:W3CDTF">2014-01-28T21:06:00Z</dcterms:created>
  <dcterms:modified xsi:type="dcterms:W3CDTF">2014-01-28T21:18:00Z</dcterms:modified>
</cp:coreProperties>
</file>