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76" w:lineRule="auto"/>
        <w:jc w:val="righ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LESSON PLAN</w:t>
      </w:r>
    </w:p>
    <w:tbl>
      <w:tblPr>
        <w:tblStyle w:val="Table1"/>
        <w:tblW w:w="128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1665"/>
        <w:gridCol w:w="240"/>
        <w:gridCol w:w="1395"/>
        <w:gridCol w:w="2235"/>
        <w:gridCol w:w="240"/>
        <w:gridCol w:w="2970"/>
        <w:gridCol w:w="2205"/>
        <w:tblGridChange w:id="0">
          <w:tblGrid>
            <w:gridCol w:w="1935"/>
            <w:gridCol w:w="1665"/>
            <w:gridCol w:w="240"/>
            <w:gridCol w:w="1395"/>
            <w:gridCol w:w="2235"/>
            <w:gridCol w:w="240"/>
            <w:gridCol w:w="2970"/>
            <w:gridCol w:w="220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02">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Grade level: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4/5</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tc>
        <w:tc>
          <w:tcPr>
            <w:tcBorders>
              <w:top w:color="000000" w:space="0" w:sz="8" w:val="single"/>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05">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Your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Denis Walsh</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tc>
        <w:tc>
          <w:tcPr>
            <w:tcBorders>
              <w:top w:color="000000" w:space="0" w:sz="8" w:val="single"/>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08">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Theme(s):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Significance</w:t>
            </w:r>
            <w:r w:rsidDel="00000000" w:rsidR="00000000" w:rsidRPr="00000000">
              <w:rPr>
                <w:rtl w:val="0"/>
              </w:rPr>
            </w:r>
          </w:p>
        </w:tc>
      </w:tr>
      <w:tr>
        <w:trPr>
          <w:trHeight w:val="800" w:hRule="atLeast"/>
        </w:trPr>
        <w:tc>
          <w:tcPr>
            <w:tcBorders>
              <w:top w:color="000000" w:space="0" w:sz="0" w:val="nil"/>
              <w:left w:color="000000" w:space="0" w:sz="8" w:val="single"/>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0A">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Subject: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Social Studies</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0D">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Title of Lesson: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Significance Part 1</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tc>
        <w:tc>
          <w:tcPr>
            <w:tcBorders>
              <w:top w:color="000000" w:space="0" w:sz="0" w:val="nil"/>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Lesson duration: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45</w:t>
            </w:r>
          </w:p>
          <w:p w:rsidR="00000000" w:rsidDel="00000000" w:rsidP="00000000" w:rsidRDefault="00000000" w:rsidRPr="00000000" w14:paraId="00000012">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minutes</w:t>
            </w:r>
          </w:p>
        </w:tc>
      </w:tr>
    </w:tbl>
    <w:p w:rsidR="00000000" w:rsidDel="00000000" w:rsidP="00000000" w:rsidRDefault="00000000" w:rsidRPr="00000000" w14:paraId="00000013">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bl>
      <w:tblPr>
        <w:tblStyle w:val="Table2"/>
        <w:tblW w:w="160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35"/>
        <w:gridCol w:w="240"/>
        <w:gridCol w:w="8145"/>
        <w:tblGridChange w:id="0">
          <w:tblGrid>
            <w:gridCol w:w="7635"/>
            <w:gridCol w:w="240"/>
            <w:gridCol w:w="8145"/>
          </w:tblGrid>
        </w:tblGridChange>
      </w:tblGrid>
      <w:tr>
        <w:trPr>
          <w:trHeight w:val="800" w:hRule="atLeast"/>
        </w:trPr>
        <w:tc>
          <w:tcPr>
            <w:tcBorders>
              <w:top w:color="000000" w:space="0" w:sz="8" w:val="single"/>
              <w:left w:color="000000" w:space="0" w:sz="8" w:val="single"/>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14">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Big Ideas:</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c>
          <w:tcPr>
            <w:tcBorders>
              <w:top w:color="000000" w:space="0" w:sz="8" w:val="single"/>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16">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Objectives [teacher’s rationale for this lesson – key questions]</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0" w:before="0" w:line="276" w:lineRule="auto"/>
              <w:ind w:left="0" w:firstLine="0"/>
              <w:rPr>
                <w:rFonts w:ascii="Helvetica Neue" w:cs="Helvetica Neue" w:eastAsia="Helvetica Neue" w:hAnsi="Helvetica Neue"/>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(rational is a paragraph that states why the students need to do this lesson)</w:t>
            </w:r>
          </w:p>
          <w:p w:rsidR="00000000" w:rsidDel="00000000" w:rsidP="00000000" w:rsidRDefault="00000000" w:rsidRPr="00000000" w14:paraId="0000001A">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(learning objective)</w:t>
            </w:r>
          </w:p>
          <w:p w:rsidR="00000000" w:rsidDel="00000000" w:rsidP="00000000" w:rsidRDefault="00000000" w:rsidRPr="00000000" w14:paraId="0000001B">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lesson is intended to start the end and main summative material for this unit. Ss will be working on a project incorporating all the knowledge of previous lessons. With prior knowledge of immigration events and how cultures are and have been affected through these events, including with regards to Indigeneity, Ss will now dig deeper by determining the levels of significance with events.</w:t>
            </w:r>
          </w:p>
          <w:p w:rsidR="00000000" w:rsidDel="00000000" w:rsidP="00000000" w:rsidRDefault="00000000" w:rsidRPr="00000000" w14:paraId="0000001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(essential questions)</w:t>
            </w:r>
          </w:p>
          <w:p w:rsidR="00000000" w:rsidDel="00000000" w:rsidP="00000000" w:rsidRDefault="00000000" w:rsidRPr="00000000" w14:paraId="0000001D">
            <w:pPr>
              <w:spacing w:after="0"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are some significant events in Canada?</w:t>
            </w:r>
          </w:p>
          <w:p w:rsidR="00000000" w:rsidDel="00000000" w:rsidP="00000000" w:rsidRDefault="00000000" w:rsidRPr="00000000" w14:paraId="0000001E">
            <w:pPr>
              <w:spacing w:after="0"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do we determine significance and the level of significance?</w:t>
            </w:r>
          </w:p>
          <w:p w:rsidR="00000000" w:rsidDel="00000000" w:rsidP="00000000" w:rsidRDefault="00000000" w:rsidRPr="00000000" w14:paraId="0000001F">
            <w:pPr>
              <w:spacing w:after="0"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and where did significant events take place?</w:t>
            </w:r>
            <w:r w:rsidDel="00000000" w:rsidR="00000000" w:rsidRPr="00000000">
              <w:rPr>
                <w:rtl w:val="0"/>
              </w:rPr>
            </w:r>
          </w:p>
        </w:tc>
      </w:tr>
      <w:tr>
        <w:trPr>
          <w:trHeight w:val="500"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spacing w:after="0" w:before="0" w:line="276" w:lineRule="auto"/>
              <w:rPr>
                <w:rFonts w:ascii="Helvetica Neue" w:cs="Helvetica Neue" w:eastAsia="Helvetica Neue" w:hAnsi="Helvetica Neue"/>
              </w:rPr>
            </w:pPr>
            <w:r w:rsidDel="00000000" w:rsidR="00000000" w:rsidRPr="00000000">
              <w:rPr>
                <w:rtl w:val="0"/>
              </w:rPr>
            </w:r>
          </w:p>
        </w:tc>
        <w:tc>
          <w:tcPr>
            <w:vMerge w:val="continue"/>
            <w:tcBorders>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before="0" w:line="276" w:lineRule="auto"/>
              <w:rPr>
                <w:rFonts w:ascii="Helvetica Neue" w:cs="Helvetica Neue" w:eastAsia="Helvetica Neue" w:hAnsi="Helvetica Neue"/>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23">
            <w:pPr>
              <w:spacing w:after="0" w:before="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First Peoples Principles of Learning</w:t>
            </w:r>
          </w:p>
        </w:tc>
        <w:tc>
          <w:tcPr>
            <w:vMerge w:val="continue"/>
            <w:tcBorders>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76" w:lineRule="auto"/>
              <w:rPr>
                <w:rFonts w:ascii="Helvetica Neue" w:cs="Helvetica Neue" w:eastAsia="Helvetica Neue" w:hAnsi="Helvetica Neue"/>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r>
      <w:tr>
        <w:trPr>
          <w:trHeight w:val="132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before="0" w:line="276" w:lineRule="auto"/>
              <w:ind w:left="0" w:firstLine="0"/>
              <w:rPr>
                <w:rFonts w:ascii="Helvetica Neue" w:cs="Helvetica Neue" w:eastAsia="Helvetica Neue" w:hAnsi="Helvetica Neue"/>
              </w:rPr>
            </w:pPr>
            <w:r w:rsidDel="00000000" w:rsidR="00000000" w:rsidRPr="00000000">
              <w:rPr>
                <w:rtl w:val="0"/>
              </w:rPr>
            </w:r>
          </w:p>
        </w:tc>
        <w:tc>
          <w:tcPr>
            <w:vMerge w:val="continue"/>
            <w:tcBorders>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0" w:line="276" w:lineRule="auto"/>
              <w:rPr>
                <w:rFonts w:ascii="Helvetica Neue" w:cs="Helvetica Neue" w:eastAsia="Helvetica Neue" w:hAnsi="Helvetica Neue"/>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29">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r>
    </w:p>
    <w:p w:rsidR="00000000" w:rsidDel="00000000" w:rsidP="00000000" w:rsidRDefault="00000000" w:rsidRPr="00000000" w14:paraId="0000002A">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2B">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p w:rsidR="00000000" w:rsidDel="00000000" w:rsidP="00000000" w:rsidRDefault="00000000" w:rsidRPr="00000000" w14:paraId="0000002C">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p w:rsidR="00000000" w:rsidDel="00000000" w:rsidP="00000000" w:rsidRDefault="00000000" w:rsidRPr="00000000" w14:paraId="0000002D">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tbl>
      <w:tblPr>
        <w:tblStyle w:val="Table3"/>
        <w:tblW w:w="154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5"/>
        <w:gridCol w:w="1185"/>
        <w:gridCol w:w="6375"/>
        <w:gridCol w:w="5595"/>
        <w:gridCol w:w="275"/>
        <w:tblGridChange w:id="0">
          <w:tblGrid>
            <w:gridCol w:w="1995"/>
            <w:gridCol w:w="1185"/>
            <w:gridCol w:w="6375"/>
            <w:gridCol w:w="5595"/>
            <w:gridCol w:w="275"/>
          </w:tblGrid>
        </w:tblGridChange>
      </w:tblGrid>
      <w:tr>
        <w:trPr>
          <w:trHeight w:val="500" w:hRule="atLeast"/>
        </w:trPr>
        <w:tc>
          <w:tcPr>
            <w:gridSpan w:val="4"/>
            <w:tcBorders>
              <w:top w:color="000000" w:space="0" w:sz="8" w:val="single"/>
              <w:left w:color="000000" w:space="0" w:sz="8" w:val="single"/>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2E">
            <w:pPr>
              <w:spacing w:after="0" w:before="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Resources &amp; References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trHeight w:val="1130"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r>
        <w:trPr>
          <w:trHeight w:val="500" w:hRule="atLeast"/>
        </w:trPr>
        <w:tc>
          <w:tcPr>
            <w:gridSpan w:val="5"/>
            <w:tcBorders>
              <w:top w:color="000000" w:space="0" w:sz="0" w:val="nil"/>
              <w:left w:color="000000" w:space="0" w:sz="8" w:val="single"/>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38">
            <w:pPr>
              <w:spacing w:after="0" w:before="0" w:line="276" w:lineRule="auto"/>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Lesson </w:t>
            </w:r>
            <w:r w:rsidDel="00000000" w:rsidR="00000000" w:rsidRPr="00000000">
              <w:rPr>
                <w:rFonts w:ascii="Helvetica Neue" w:cs="Helvetica Neue" w:eastAsia="Helvetica Neue" w:hAnsi="Helvetica Neue"/>
                <w:i w:val="1"/>
                <w:rtl w:val="0"/>
              </w:rPr>
              <w:t xml:space="preserve">(Teacher Action/Student Action)</w:t>
            </w:r>
          </w:p>
        </w:tc>
      </w:tr>
      <w:tr>
        <w:trPr>
          <w:trHeight w:val="500" w:hRule="atLeast"/>
        </w:trPr>
        <w:tc>
          <w:tcPr>
            <w:tcBorders>
              <w:top w:color="000000" w:space="0" w:sz="0" w:val="nil"/>
              <w:left w:color="000000" w:space="0" w:sz="8" w:val="single"/>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3D">
            <w:pPr>
              <w:spacing w:after="0" w:before="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Resources</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3E">
            <w:pPr>
              <w:spacing w:after="0" w:before="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Time</w:t>
            </w:r>
          </w:p>
        </w:tc>
        <w:tc>
          <w:tcPr>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3F">
            <w:pPr>
              <w:spacing w:after="0" w:before="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Teacher</w:t>
            </w:r>
          </w:p>
        </w:tc>
        <w:tc>
          <w:tcPr>
            <w:gridSpan w:val="2"/>
            <w:tcBorders>
              <w:top w:color="000000" w:space="0" w:sz="0" w:val="nil"/>
              <w:left w:color="000000" w:space="0" w:sz="0" w:val="nil"/>
              <w:bottom w:color="000000" w:space="0" w:sz="8" w:val="single"/>
              <w:right w:color="000000" w:space="0" w:sz="8" w:val="single"/>
            </w:tcBorders>
            <w:shd w:fill="eaf1dd" w:val="clear"/>
            <w:tcMar>
              <w:top w:w="100.0" w:type="dxa"/>
              <w:left w:w="100.0" w:type="dxa"/>
              <w:bottom w:w="100.0" w:type="dxa"/>
              <w:right w:w="100.0" w:type="dxa"/>
            </w:tcMar>
            <w:vAlign w:val="top"/>
          </w:tcPr>
          <w:p w:rsidR="00000000" w:rsidDel="00000000" w:rsidP="00000000" w:rsidRDefault="00000000" w:rsidRPr="00000000" w14:paraId="00000040">
            <w:pPr>
              <w:spacing w:after="0" w:before="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Student</w:t>
            </w:r>
          </w:p>
        </w:tc>
      </w:tr>
      <w:tr>
        <w:trPr>
          <w:trHeight w:val="980" w:hRule="atLeast"/>
        </w:trPr>
        <w:tc>
          <w:tcPr>
            <w:tcBorders>
              <w:top w:color="000000" w:space="0" w:sz="0" w:val="nil"/>
              <w:left w:color="000000" w:space="0" w:sz="8" w:val="single"/>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5min</w:t>
            </w:r>
            <w:r w:rsidDel="00000000" w:rsidR="00000000" w:rsidRPr="00000000">
              <w:rPr>
                <w:rtl w:val="0"/>
              </w:rPr>
            </w:r>
          </w:p>
        </w:tc>
        <w:tc>
          <w:tcPr>
            <w:tcBorders>
              <w:top w:color="000000" w:space="0" w:sz="0" w:val="nil"/>
              <w:left w:color="000000" w:space="0" w:sz="0" w:val="nil"/>
              <w:bottom w:color="000000" w:space="0" w:sz="8" w:val="dashed"/>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Ss and T review immigration events in a general way, recalling previous lessons that built knowledge of at least 10 distinct events, though less than 10 may be brainstormed here</w:t>
            </w:r>
          </w:p>
          <w:p w:rsidR="00000000" w:rsidDel="00000000" w:rsidP="00000000" w:rsidRDefault="00000000" w:rsidRPr="00000000" w14:paraId="00000045">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spacing w:after="0" w:before="0" w:line="276" w:lineRule="auto"/>
              <w:rPr>
                <w:rFonts w:ascii="Helvetica Neue" w:cs="Helvetica Neue" w:eastAsia="Helvetica Neue" w:hAnsi="Helvetica Neue"/>
              </w:rPr>
            </w:pPr>
            <w:r w:rsidDel="00000000" w:rsidR="00000000" w:rsidRPr="00000000">
              <w:rPr>
                <w:rtl w:val="0"/>
              </w:rPr>
            </w:r>
          </w:p>
        </w:tc>
        <w:tc>
          <w:tcPr>
            <w:gridSpan w:val="2"/>
            <w:tcBorders>
              <w:top w:color="000000" w:space="0" w:sz="0" w:val="nil"/>
              <w:left w:color="000000" w:space="0" w:sz="0" w:val="nil"/>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after="0" w:before="0" w:line="276" w:lineRule="auto"/>
              <w:rPr>
                <w:rFonts w:ascii="Helvetica Neue" w:cs="Helvetica Neue" w:eastAsia="Helvetica Neue" w:hAnsi="Helvetica Neue"/>
              </w:rPr>
            </w:pPr>
            <w:r w:rsidDel="00000000" w:rsidR="00000000" w:rsidRPr="00000000">
              <w:rPr>
                <w:rtl w:val="0"/>
              </w:rPr>
            </w:r>
          </w:p>
        </w:tc>
      </w:tr>
      <w:tr>
        <w:trPr>
          <w:trHeight w:val="980" w:hRule="atLeast"/>
        </w:trPr>
        <w:tc>
          <w:tcPr>
            <w:tcBorders>
              <w:top w:color="000000" w:space="0" w:sz="0" w:val="nil"/>
              <w:left w:color="000000" w:space="0" w:sz="8" w:val="single"/>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5min</w:t>
            </w:r>
            <w:r w:rsidDel="00000000" w:rsidR="00000000" w:rsidRPr="00000000">
              <w:rPr>
                <w:rtl w:val="0"/>
              </w:rPr>
            </w:r>
          </w:p>
        </w:tc>
        <w:tc>
          <w:tcPr>
            <w:tcBorders>
              <w:top w:color="000000" w:space="0" w:sz="0" w:val="nil"/>
              <w:left w:color="000000" w:space="0" w:sz="0" w:val="nil"/>
              <w:bottom w:color="000000" w:space="0" w:sz="8" w:val="dashed"/>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B">
            <w:pPr>
              <w:spacing w:after="0"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 then explains that in social studies, historians create criteria for events in the past that are worth remembering</w:t>
            </w:r>
          </w:p>
          <w:p w:rsidR="00000000" w:rsidDel="00000000" w:rsidP="00000000" w:rsidRDefault="00000000" w:rsidRPr="00000000" w14:paraId="0000004C">
            <w:pPr>
              <w:numPr>
                <w:ilvl w:val="0"/>
                <w:numId w:val="3"/>
              </w:numPr>
              <w:spacing w:after="0"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Brainstorm events within S’s lifetime they may remember</w:t>
            </w:r>
          </w:p>
          <w:p w:rsidR="00000000" w:rsidDel="00000000" w:rsidP="00000000" w:rsidRDefault="00000000" w:rsidRPr="00000000" w14:paraId="0000004D">
            <w:pPr>
              <w:numPr>
                <w:ilvl w:val="0"/>
                <w:numId w:val="3"/>
              </w:numPr>
              <w:spacing w:after="0"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Branch this into worldwide significant events from all of history</w:t>
            </w:r>
          </w:p>
        </w:tc>
        <w:tc>
          <w:tcPr>
            <w:gridSpan w:val="2"/>
            <w:tcBorders>
              <w:top w:color="000000" w:space="0" w:sz="0" w:val="nil"/>
              <w:left w:color="000000" w:space="0" w:sz="0" w:val="nil"/>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after="0" w:before="0" w:line="276" w:lineRule="auto"/>
              <w:rPr>
                <w:rFonts w:ascii="Helvetica Neue" w:cs="Helvetica Neue" w:eastAsia="Helvetica Neue" w:hAnsi="Helvetica Neue"/>
              </w:rPr>
            </w:pPr>
            <w:r w:rsidDel="00000000" w:rsidR="00000000" w:rsidRPr="00000000">
              <w:rPr>
                <w:rtl w:val="0"/>
              </w:rPr>
            </w:r>
          </w:p>
        </w:tc>
      </w:tr>
      <w:tr>
        <w:trPr>
          <w:trHeight w:val="980" w:hRule="atLeast"/>
        </w:trPr>
        <w:tc>
          <w:tcPr>
            <w:tcBorders>
              <w:top w:color="000000" w:space="0" w:sz="0" w:val="nil"/>
              <w:left w:color="000000" w:space="0" w:sz="8" w:val="single"/>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10min</w:t>
            </w:r>
            <w:r w:rsidDel="00000000" w:rsidR="00000000" w:rsidRPr="00000000">
              <w:rPr>
                <w:rtl w:val="0"/>
              </w:rPr>
            </w:r>
          </w:p>
        </w:tc>
        <w:tc>
          <w:tcPr>
            <w:tcBorders>
              <w:top w:color="000000" w:space="0" w:sz="0" w:val="nil"/>
              <w:left w:color="000000" w:space="0" w:sz="0" w:val="nil"/>
              <w:bottom w:color="000000" w:space="0" w:sz="8" w:val="dashed"/>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2">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Create through inquiry, the “determining significance worksheet” criteria points - this worksheet answers “Is this event significant” (all events/people should be considered ‘yes’ because we’ve chosen them for this class)</w:t>
            </w:r>
          </w:p>
          <w:p w:rsidR="00000000" w:rsidDel="00000000" w:rsidP="00000000" w:rsidRDefault="00000000" w:rsidRPr="00000000" w14:paraId="00000053">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examples of non-significant events are desired, consider things like skirmish sports/games vs leagues/tournaments, </w:t>
            </w:r>
          </w:p>
          <w:p w:rsidR="00000000" w:rsidDel="00000000" w:rsidP="00000000" w:rsidRDefault="00000000" w:rsidRPr="00000000" w14:paraId="00000054">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5">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touch on the idea that in social studies, anything with no significance would be considered something not worth remembering.</w:t>
            </w:r>
          </w:p>
        </w:tc>
        <w:tc>
          <w:tcPr>
            <w:gridSpan w:val="2"/>
            <w:tcBorders>
              <w:top w:color="000000" w:space="0" w:sz="0" w:val="nil"/>
              <w:left w:color="000000" w:space="0" w:sz="0" w:val="nil"/>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 elicits the following categories: </w:t>
            </w:r>
            <w:r w:rsidDel="00000000" w:rsidR="00000000" w:rsidRPr="00000000">
              <w:rPr>
                <w:rFonts w:ascii="Helvetica Neue" w:cs="Helvetica Neue" w:eastAsia="Helvetica Neue" w:hAnsi="Helvetica Neue"/>
                <w:b w:val="1"/>
                <w:rtl w:val="0"/>
              </w:rPr>
              <w:t xml:space="preserve">resulting in change aka consequences </w:t>
            </w:r>
            <w:r w:rsidDel="00000000" w:rsidR="00000000" w:rsidRPr="00000000">
              <w:rPr>
                <w:rFonts w:ascii="Helvetica Neue" w:cs="Helvetica Neue" w:eastAsia="Helvetica Neue" w:hAnsi="Helvetica Neue"/>
                <w:rtl w:val="0"/>
              </w:rPr>
              <w:t xml:space="preserve">(over time - durability, in life today - prominence, and for how many people - quantity), </w:t>
            </w:r>
            <w:r w:rsidDel="00000000" w:rsidR="00000000" w:rsidRPr="00000000">
              <w:rPr>
                <w:rFonts w:ascii="Helvetica Neue" w:cs="Helvetica Neue" w:eastAsia="Helvetica Neue" w:hAnsi="Helvetica Neue"/>
                <w:b w:val="1"/>
                <w:rtl w:val="0"/>
              </w:rPr>
              <w:t xml:space="preserve">lasting aka resonance </w:t>
            </w:r>
            <w:r w:rsidDel="00000000" w:rsidR="00000000" w:rsidRPr="00000000">
              <w:rPr>
                <w:rFonts w:ascii="Helvetica Neue" w:cs="Helvetica Neue" w:eastAsia="Helvetica Neue" w:hAnsi="Helvetica Neue"/>
                <w:rtl w:val="0"/>
              </w:rPr>
              <w:t xml:space="preserve">(connection to important issues in history - revealing, and current issues - relevant)</w:t>
            </w:r>
          </w:p>
        </w:tc>
      </w:tr>
      <w:tr>
        <w:trPr>
          <w:trHeight w:val="1040" w:hRule="atLeast"/>
        </w:trPr>
        <w:tc>
          <w:tcPr>
            <w:tcBorders>
              <w:top w:color="000000" w:space="0" w:sz="0" w:val="nil"/>
              <w:left w:color="000000" w:space="0" w:sz="8" w:val="single"/>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5min transition</w:t>
            </w:r>
          </w:p>
          <w:p w:rsidR="00000000" w:rsidDel="00000000" w:rsidP="00000000" w:rsidRDefault="00000000" w:rsidRPr="00000000" w14:paraId="0000005A">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10min activity</w:t>
            </w:r>
            <w:r w:rsidDel="00000000" w:rsidR="00000000" w:rsidRPr="00000000">
              <w:rPr>
                <w:rtl w:val="0"/>
              </w:rPr>
            </w:r>
          </w:p>
        </w:tc>
        <w:tc>
          <w:tcPr>
            <w:tcBorders>
              <w:top w:color="000000" w:space="0" w:sz="0" w:val="nil"/>
              <w:left w:color="000000" w:space="0" w:sz="0" w:val="nil"/>
              <w:bottom w:color="000000" w:space="0" w:sz="8" w:val="dashed"/>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B">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Now finalize the class determined significant events/people list. Each student may choose one from the list, no restrictions.</w:t>
            </w:r>
          </w:p>
          <w:p w:rsidR="00000000" w:rsidDel="00000000" w:rsidP="00000000" w:rsidRDefault="00000000" w:rsidRPr="00000000" w14:paraId="0000005C">
            <w:pPr>
              <w:spacing w:after="0" w:before="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D">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Hand out the worksheet</w:t>
            </w:r>
          </w:p>
        </w:tc>
        <w:tc>
          <w:tcPr>
            <w:gridSpan w:val="2"/>
            <w:tcBorders>
              <w:top w:color="000000" w:space="0" w:sz="0" w:val="nil"/>
              <w:left w:color="000000" w:space="0" w:sz="0" w:val="nil"/>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Ss fill out the worksheet using the event/person they have chosen</w:t>
            </w:r>
          </w:p>
          <w:p w:rsidR="00000000" w:rsidDel="00000000" w:rsidP="00000000" w:rsidRDefault="00000000" w:rsidRPr="00000000" w14:paraId="0000005F">
            <w:pPr>
              <w:numPr>
                <w:ilvl w:val="0"/>
                <w:numId w:val="1"/>
              </w:numPr>
              <w:spacing w:after="0"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Write the ‘title’ of your event/person on the top of the sheet with your name </w:t>
            </w:r>
          </w:p>
          <w:p w:rsidR="00000000" w:rsidDel="00000000" w:rsidP="00000000" w:rsidRDefault="00000000" w:rsidRPr="00000000" w14:paraId="00000060">
            <w:pPr>
              <w:numPr>
                <w:ilvl w:val="0"/>
                <w:numId w:val="1"/>
              </w:numPr>
              <w:spacing w:after="0" w:before="0"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Ss may help each other if they chose the same event</w:t>
            </w:r>
          </w:p>
        </w:tc>
      </w:tr>
      <w:tr>
        <w:trPr>
          <w:trHeight w:val="980" w:hRule="atLeast"/>
        </w:trPr>
        <w:tc>
          <w:tcPr>
            <w:tcBorders>
              <w:top w:color="000000" w:space="0" w:sz="0" w:val="nil"/>
              <w:left w:color="000000" w:space="0" w:sz="8" w:val="single"/>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10min</w:t>
            </w:r>
            <w:r w:rsidDel="00000000" w:rsidR="00000000" w:rsidRPr="00000000">
              <w:rPr>
                <w:rtl w:val="0"/>
              </w:rPr>
            </w:r>
          </w:p>
        </w:tc>
        <w:tc>
          <w:tcPr>
            <w:tcBorders>
              <w:top w:color="000000" w:space="0" w:sz="0" w:val="nil"/>
              <w:left w:color="000000" w:space="0" w:sz="0" w:val="nil"/>
              <w:bottom w:color="000000" w:space="0" w:sz="8" w:val="dashed"/>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4">
            <w:pPr>
              <w:spacing w:after="0"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Reconvene and have Ss discuss their responses. </w:t>
            </w:r>
          </w:p>
          <w:p w:rsidR="00000000" w:rsidDel="00000000" w:rsidP="00000000" w:rsidRDefault="00000000" w:rsidRPr="00000000" w14:paraId="00000065">
            <w:pPr>
              <w:spacing w:after="0" w:before="0"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6">
            <w:pPr>
              <w:spacing w:after="0" w:before="0"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question is not, “is this significant?” rather it is, “Why is/was this significant?”</w:t>
            </w:r>
          </w:p>
        </w:tc>
        <w:tc>
          <w:tcPr>
            <w:gridSpan w:val="2"/>
            <w:tcBorders>
              <w:top w:color="000000" w:space="0" w:sz="0" w:val="nil"/>
              <w:left w:color="000000" w:space="0" w:sz="0" w:val="nil"/>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Since these examples all can be considered to have significance from a social studies standpoint, Ss may not ‘skip’ a category nor determine that the events/people have/had no significance</w:t>
            </w:r>
          </w:p>
        </w:tc>
      </w:tr>
      <w:tr>
        <w:trPr>
          <w:trHeight w:val="980" w:hRule="atLeast"/>
        </w:trPr>
        <w:tc>
          <w:tcPr>
            <w:tcBorders>
              <w:top w:color="000000" w:space="0" w:sz="0" w:val="nil"/>
              <w:left w:color="000000" w:space="0" w:sz="8" w:val="single"/>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8" w:val="dashed"/>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B">
            <w:pPr>
              <w:spacing w:after="0" w:before="0" w:line="276" w:lineRule="auto"/>
              <w:rPr>
                <w:rFonts w:ascii="Helvetica Neue" w:cs="Helvetica Neue" w:eastAsia="Helvetica Neue" w:hAnsi="Helvetica Neue"/>
              </w:rPr>
            </w:pPr>
            <w:r w:rsidDel="00000000" w:rsidR="00000000" w:rsidRPr="00000000">
              <w:rPr>
                <w:rtl w:val="0"/>
              </w:rPr>
            </w:r>
          </w:p>
        </w:tc>
        <w:tc>
          <w:tcPr>
            <w:gridSpan w:val="2"/>
            <w:tcBorders>
              <w:top w:color="000000" w:space="0" w:sz="0" w:val="nil"/>
              <w:left w:color="000000" w:space="0" w:sz="0" w:val="nil"/>
              <w:bottom w:color="000000" w:space="0" w:sz="8" w:val="dashed"/>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after="0" w:before="0" w:line="276" w:lineRule="auto"/>
              <w:rPr>
                <w:rFonts w:ascii="Helvetica Neue" w:cs="Helvetica Neue" w:eastAsia="Helvetica Neue" w:hAnsi="Helvetica Neue"/>
              </w:rPr>
            </w:pPr>
            <w:r w:rsidDel="00000000" w:rsidR="00000000" w:rsidRPr="00000000">
              <w:rPr>
                <w:rtl w:val="0"/>
              </w:rPr>
            </w:r>
          </w:p>
        </w:tc>
      </w:tr>
      <w:tr>
        <w:trPr>
          <w:trHeight w:val="2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before="0" w:line="276"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after="0" w:before="0" w:line="276"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73">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p w:rsidR="00000000" w:rsidDel="00000000" w:rsidP="00000000" w:rsidRDefault="00000000" w:rsidRPr="00000000" w14:paraId="00000074">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p w:rsidR="00000000" w:rsidDel="00000000" w:rsidP="00000000" w:rsidRDefault="00000000" w:rsidRPr="00000000" w14:paraId="00000075">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p w:rsidR="00000000" w:rsidDel="00000000" w:rsidP="00000000" w:rsidRDefault="00000000" w:rsidRPr="00000000" w14:paraId="00000076">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p w:rsidR="00000000" w:rsidDel="00000000" w:rsidP="00000000" w:rsidRDefault="00000000" w:rsidRPr="00000000" w14:paraId="00000077">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p w:rsidR="00000000" w:rsidDel="00000000" w:rsidP="00000000" w:rsidRDefault="00000000" w:rsidRPr="00000000" w14:paraId="00000078">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p w:rsidR="00000000" w:rsidDel="00000000" w:rsidP="00000000" w:rsidRDefault="00000000" w:rsidRPr="00000000" w14:paraId="00000079">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tbl>
      <w:tblPr>
        <w:tblStyle w:val="Table4"/>
        <w:tblW w:w="143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60"/>
        <w:gridCol w:w="585"/>
        <w:gridCol w:w="7065"/>
        <w:tblGridChange w:id="0">
          <w:tblGrid>
            <w:gridCol w:w="6660"/>
            <w:gridCol w:w="585"/>
            <w:gridCol w:w="706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7A">
            <w:pPr>
              <w:spacing w:after="0" w:before="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Assessment/evaluation</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tc>
        <w:tc>
          <w:tcPr>
            <w:tcBorders>
              <w:top w:color="000000" w:space="0" w:sz="8" w:val="single"/>
              <w:left w:color="000000" w:space="0" w:sz="0" w:val="nil"/>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7C">
            <w:pPr>
              <w:spacing w:after="0" w:before="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Adaptations/Modifications/Differentiation/Language Competencies</w:t>
            </w:r>
          </w:p>
        </w:tc>
      </w:tr>
      <w:tr>
        <w:trPr>
          <w:trHeight w:val="17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after="0" w:before="0" w:line="276" w:lineRule="auto"/>
              <w:ind w:left="78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Formative/ summative (if relevant)</w:t>
            </w:r>
          </w:p>
          <w:p w:rsidR="00000000" w:rsidDel="00000000" w:rsidP="00000000" w:rsidRDefault="00000000" w:rsidRPr="00000000" w14:paraId="0000007E">
            <w:pPr>
              <w:numPr>
                <w:ilvl w:val="0"/>
                <w:numId w:val="2"/>
              </w:numPr>
              <w:spacing w:after="0" w:before="0" w:line="276" w:lineRule="auto"/>
              <w:ind w:left="720" w:hanging="360"/>
              <w:rPr>
                <w:rFonts w:ascii="Helvetica Neue" w:cs="Helvetica Neue" w:eastAsia="Helvetica Neue" w:hAnsi="Helvetica Neue"/>
                <w:u w:val="no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numPr>
                <w:ilvl w:val="0"/>
                <w:numId w:val="4"/>
              </w:numPr>
              <w:spacing w:after="0" w:before="0" w:line="276" w:lineRule="auto"/>
              <w:ind w:left="720" w:hanging="360"/>
              <w:rPr>
                <w:rFonts w:ascii="Helvetica Neue" w:cs="Helvetica Neue" w:eastAsia="Helvetica Neue" w:hAnsi="Helvetica Neue"/>
                <w:u w:val="none"/>
              </w:rPr>
            </w:pPr>
            <w:r w:rsidDel="00000000" w:rsidR="00000000" w:rsidRPr="00000000">
              <w:rPr>
                <w:rtl w:val="0"/>
              </w:rPr>
            </w:r>
          </w:p>
        </w:tc>
      </w:tr>
    </w:tbl>
    <w:p w:rsidR="00000000" w:rsidDel="00000000" w:rsidP="00000000" w:rsidRDefault="00000000" w:rsidRPr="00000000" w14:paraId="00000081">
      <w:pPr>
        <w:spacing w:after="0" w:before="0" w:line="276"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w:t>
      </w:r>
    </w:p>
    <w:tbl>
      <w:tblPr>
        <w:tblStyle w:val="Table5"/>
        <w:tblW w:w="143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355"/>
        <w:tblGridChange w:id="0">
          <w:tblGrid>
            <w:gridCol w:w="1435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shd w:fill="d6e3bc" w:val="clear"/>
            <w:tcMar>
              <w:top w:w="100.0" w:type="dxa"/>
              <w:left w:w="100.0" w:type="dxa"/>
              <w:bottom w:w="100.0" w:type="dxa"/>
              <w:right w:w="100.0" w:type="dxa"/>
            </w:tcMar>
            <w:vAlign w:val="top"/>
          </w:tcPr>
          <w:p w:rsidR="00000000" w:rsidDel="00000000" w:rsidP="00000000" w:rsidRDefault="00000000" w:rsidRPr="00000000" w14:paraId="00000082">
            <w:pPr>
              <w:spacing w:after="0" w:before="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Extensions/Possible Cross-curricular Connections</w:t>
            </w:r>
          </w:p>
        </w:tc>
      </w:tr>
      <w:tr>
        <w:trPr>
          <w:trHeight w:val="10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after="0" w:before="0" w:line="276" w:lineRule="auto"/>
              <w:ind w:left="4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4">
            <w:pPr>
              <w:spacing w:after="0" w:before="0" w:line="276" w:lineRule="auto"/>
              <w:ind w:left="4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5">
            <w:pPr>
              <w:spacing w:after="0" w:before="0" w:line="276" w:lineRule="auto"/>
              <w:ind w:left="6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tc>
      </w:tr>
    </w:tbl>
    <w:p w:rsidR="00000000" w:rsidDel="00000000" w:rsidP="00000000" w:rsidRDefault="00000000" w:rsidRPr="00000000" w14:paraId="00000086">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7">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8">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9">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A">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B">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C">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D">
      <w:pPr>
        <w:spacing w:after="0" w:before="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E">
      <w:pPr>
        <w:spacing w:after="0" w:before="0" w:line="276" w:lineRule="auto"/>
        <w:rPr>
          <w:rFonts w:ascii="Helvetica Neue" w:cs="Helvetica Neue" w:eastAsia="Helvetica Neue" w:hAnsi="Helvetica Neue"/>
        </w:rPr>
      </w:pPr>
      <w:r w:rsidDel="00000000" w:rsidR="00000000" w:rsidRPr="00000000">
        <w:rPr>
          <w:rtl w:val="0"/>
        </w:rPr>
      </w:r>
    </w:p>
    <w:sectPr>
      <w:pgSz w:h="11906" w:w="16838"/>
      <w:pgMar w:bottom="425.1968503937008" w:top="425.1968503937008" w:left="425.1968503937008" w:right="425.1968503937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