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276" w:lineRule="auto"/>
        <w:rPr>
          <w:rFonts w:ascii="Helvetica Neue" w:cs="Helvetica Neue" w:eastAsia="Helvetica Neue" w:hAnsi="Helvetica Neue"/>
        </w:rPr>
      </w:pPr>
      <w:r w:rsidDel="00000000" w:rsidR="00000000" w:rsidRPr="00000000">
        <w:rPr>
          <w:rtl w:val="0"/>
        </w:rPr>
      </w:r>
    </w:p>
    <w:tbl>
      <w:tblPr>
        <w:tblStyle w:val="Table1"/>
        <w:tblW w:w="158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2295"/>
        <w:gridCol w:w="9105"/>
        <w:tblGridChange w:id="0">
          <w:tblGrid>
            <w:gridCol w:w="4440"/>
            <w:gridCol w:w="2295"/>
            <w:gridCol w:w="9105"/>
          </w:tblGrid>
        </w:tblGridChange>
      </w:tblGrid>
      <w:tr>
        <w:trPr>
          <w:trHeight w:val="1025" w:hRule="atLeast"/>
        </w:trPr>
        <w:tc>
          <w:tcPr>
            <w:tcBorders>
              <w:top w:color="000000" w:space="0" w:sz="8" w:val="single"/>
              <w:left w:color="000000" w:space="0" w:sz="8" w:val="single"/>
              <w:bottom w:color="000000" w:space="0" w:sz="8" w:val="single"/>
              <w:right w:color="000000"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02">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Theme of unit:</w:t>
            </w:r>
          </w:p>
          <w:p w:rsidR="00000000" w:rsidDel="00000000" w:rsidP="00000000" w:rsidRDefault="00000000" w:rsidRPr="00000000" w14:paraId="00000003">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Social Studies: Immigration, Indigeneity, and Multiculturalism</w:t>
            </w:r>
          </w:p>
        </w:tc>
        <w:tc>
          <w:tcPr>
            <w:tcBorders>
              <w:top w:color="000000" w:space="0" w:sz="8" w:val="single"/>
              <w:left w:color="000000" w:space="0" w:sz="0" w:val="nil"/>
              <w:bottom w:color="000000" w:space="0" w:sz="8" w:val="single"/>
              <w:right w:color="000000"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04">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Grade:</w:t>
            </w:r>
          </w:p>
          <w:p w:rsidR="00000000" w:rsidDel="00000000" w:rsidP="00000000" w:rsidRDefault="00000000" w:rsidRPr="00000000" w14:paraId="00000005">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4/5</w:t>
            </w:r>
          </w:p>
        </w:tc>
        <w:tc>
          <w:tcPr>
            <w:tcBorders>
              <w:top w:color="000000" w:space="0" w:sz="8" w:val="single"/>
              <w:left w:color="000000" w:space="0" w:sz="0" w:val="nil"/>
              <w:bottom w:color="000000" w:space="0" w:sz="8" w:val="single"/>
              <w:right w:color="000000"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06">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of lessons/time:</w:t>
            </w:r>
          </w:p>
          <w:p w:rsidR="00000000" w:rsidDel="00000000" w:rsidP="00000000" w:rsidRDefault="00000000" w:rsidRPr="00000000" w14:paraId="00000007">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trHeight w:val="2585" w:hRule="atLeast"/>
        </w:trPr>
        <w:tc>
          <w:tcPr>
            <w:gridSpan w:val="3"/>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Unit overview:</w:t>
            </w:r>
          </w:p>
          <w:p w:rsidR="00000000" w:rsidDel="00000000" w:rsidP="00000000" w:rsidRDefault="00000000" w:rsidRPr="00000000" w14:paraId="00000009">
            <w:pPr>
              <w:spacing w:after="0" w:before="0" w:line="276" w:lineRule="auto"/>
              <w:rPr/>
            </w:pPr>
            <w:r w:rsidDel="00000000" w:rsidR="00000000" w:rsidRPr="00000000">
              <w:rPr>
                <w:rFonts w:ascii="Helvetica Neue" w:cs="Helvetica Neue" w:eastAsia="Helvetica Neue" w:hAnsi="Helvetica Neue"/>
                <w:b w:val="1"/>
                <w:rtl w:val="0"/>
              </w:rPr>
              <w:t xml:space="preserve">Considering the First Peoples Principles of Learning, this class may explore Indigenous ways of learning through various subjects, allowing the material and work they’ve produced to be used in social studies contexts. The unit should include Indigenous learning experiences as well as tertiary knowledge provided by the teacher using resources from the NITEP and FNESC communities. The unit should consider prior knowledge of social studies curricular competencies and content, meaning that information the students already know should come into play, and be somehow incorporated into this unit by connecting to continuity/change, evidence, significance, and ethical judgement. </w:t>
            </w:r>
            <w:r w:rsidDel="00000000" w:rsidR="00000000" w:rsidRPr="00000000">
              <w:rPr>
                <w:rtl w:val="0"/>
              </w:rPr>
            </w:r>
          </w:p>
          <w:p w:rsidR="00000000" w:rsidDel="00000000" w:rsidP="00000000" w:rsidRDefault="00000000" w:rsidRPr="00000000" w14:paraId="0000000A">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0B">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0C">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tc>
      </w:tr>
    </w:tbl>
    <w:p w:rsidR="00000000" w:rsidDel="00000000" w:rsidP="00000000" w:rsidRDefault="00000000" w:rsidRPr="00000000" w14:paraId="0000000F">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bl>
      <w:tblPr>
        <w:tblStyle w:val="Table2"/>
        <w:tblW w:w="158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85"/>
        <w:gridCol w:w="5625"/>
        <w:gridCol w:w="5130"/>
        <w:tblGridChange w:id="0">
          <w:tblGrid>
            <w:gridCol w:w="5085"/>
            <w:gridCol w:w="5625"/>
            <w:gridCol w:w="5130"/>
          </w:tblGrid>
        </w:tblGridChange>
      </w:tblGrid>
      <w:tr>
        <w:trPr>
          <w:trHeight w:val="810" w:hRule="atLeast"/>
        </w:trPr>
        <w:tc>
          <w:tcPr>
            <w:gridSpan w:val="3"/>
            <w:tcBorders>
              <w:top w:color="000000" w:space="0" w:sz="8" w:val="single"/>
              <w:left w:color="000000" w:space="0" w:sz="8" w:val="single"/>
              <w:bottom w:color="000000" w:space="0" w:sz="8" w:val="single"/>
              <w:right w:color="000000"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10">
            <w:pPr>
              <w:spacing w:after="0" w:before="0" w:line="276"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CORE COMPETENCIES</w:t>
            </w:r>
          </w:p>
        </w:tc>
      </w:tr>
      <w:tr>
        <w:trPr>
          <w:trHeight w:val="31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Thinking: - Ss will be expected to create original ideas in their output and actions in class, they will also be expected to provide evidence of reflecting and critiquing those ideas</w:t>
            </w:r>
          </w:p>
          <w:p w:rsidR="00000000" w:rsidDel="00000000" w:rsidP="00000000" w:rsidRDefault="00000000" w:rsidRPr="00000000" w14:paraId="00000014">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Creative</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5">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Critical and Reflective</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16">
            <w:pPr>
              <w:spacing w:after="0" w:before="0" w:line="276" w:lineRule="auto"/>
              <w:rPr>
                <w:rFonts w:ascii="Helvetica Neue" w:cs="Helvetica Neue" w:eastAsia="Helvetica Neue" w:hAnsi="Helvetica Neu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Communication: - unit offers opportunities for the exchange of ideas, and will require that Ss find a way to effectively communicate their ideas, skills, and individuality</w:t>
            </w:r>
          </w:p>
          <w:p w:rsidR="00000000" w:rsidDel="00000000" w:rsidP="00000000" w:rsidRDefault="00000000" w:rsidRPr="00000000" w14:paraId="00000018">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Communicating</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9">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Collaborating</w:t>
            </w: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1A">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Personal and Social: - as with any time spent at school, the expectations of respect that have been established in the classroom permeate any and all activity. As Ss move through the unit, they will be assessed on all facets of the personal and social core competency. </w:t>
            </w:r>
          </w:p>
          <w:p w:rsidR="00000000" w:rsidDel="00000000" w:rsidP="00000000" w:rsidRDefault="00000000" w:rsidRPr="00000000" w14:paraId="0000001C">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Personal Awareness and Responsibility</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D">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Positive Personal and Cultural Identity:</w:t>
            </w:r>
          </w:p>
          <w:p w:rsidR="00000000" w:rsidDel="00000000" w:rsidP="00000000" w:rsidRDefault="00000000" w:rsidRPr="00000000" w14:paraId="0000001F">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Social Awareness and Responsibility</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21">
            <w:pPr>
              <w:spacing w:after="0" w:before="0" w:line="276"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22">
      <w:pPr>
        <w:spacing w:after="0" w:before="0" w:line="276" w:lineRule="auto"/>
        <w:rPr>
          <w:rFonts w:ascii="Helvetica Neue" w:cs="Helvetica Neue" w:eastAsia="Helvetica Neue" w:hAnsi="Helvetica Neue"/>
        </w:rPr>
      </w:pPr>
      <w:r w:rsidDel="00000000" w:rsidR="00000000" w:rsidRPr="00000000">
        <w:rPr>
          <w:rtl w:val="0"/>
        </w:rPr>
      </w:r>
    </w:p>
    <w:tbl>
      <w:tblPr>
        <w:tblStyle w:val="Table3"/>
        <w:tblW w:w="158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040"/>
        <w:gridCol w:w="7770"/>
        <w:tblGridChange w:id="0">
          <w:tblGrid>
            <w:gridCol w:w="8040"/>
            <w:gridCol w:w="7770"/>
          </w:tblGrid>
        </w:tblGridChange>
      </w:tblGrid>
      <w:tr>
        <w:trPr>
          <w:trHeight w:val="49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before="0" w:line="276"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BIG IDEAS:</w:t>
            </w:r>
            <w:r w:rsidDel="00000000" w:rsidR="00000000" w:rsidRPr="00000000">
              <w:rPr>
                <w:rFonts w:ascii="Helvetica Neue" w:cs="Helvetica Neue" w:eastAsia="Helvetica Neue" w:hAnsi="Helvetica Neue"/>
                <w:rtl w:val="0"/>
              </w:rPr>
              <w:tab/>
            </w:r>
            <w:r w:rsidDel="00000000" w:rsidR="00000000" w:rsidRPr="00000000">
              <w:rPr>
                <w:rFonts w:ascii="Helvetica Neue" w:cs="Helvetica Neue" w:eastAsia="Helvetica Neue" w:hAnsi="Helvetica Neue"/>
                <w:i w:val="1"/>
                <w:rtl w:val="0"/>
              </w:rPr>
              <w:t xml:space="preserve">(Why is this unit important to learning?)</w:t>
            </w:r>
          </w:p>
          <w:p w:rsidR="00000000" w:rsidDel="00000000" w:rsidP="00000000" w:rsidRDefault="00000000" w:rsidRPr="00000000" w14:paraId="00000024">
            <w:pPr>
              <w:spacing w:after="0" w:before="0" w:line="276" w:lineRule="auto"/>
              <w:ind w:left="0" w:firstLine="0"/>
              <w:rPr>
                <w:rFonts w:ascii="Helvetica Neue" w:cs="Helvetica Neue" w:eastAsia="Helvetica Neue" w:hAnsi="Helvetica Neu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KEY QUESTIONS: All lessons have their own key questions</w:t>
            </w:r>
          </w:p>
          <w:p w:rsidR="00000000" w:rsidDel="00000000" w:rsidP="00000000" w:rsidRDefault="00000000" w:rsidRPr="00000000" w14:paraId="00000026">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spacing w:after="0" w:before="0" w:line="276"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28">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9">
      <w:pPr>
        <w:spacing w:after="0" w:before="0" w:line="276" w:lineRule="auto"/>
        <w:rPr>
          <w:rFonts w:ascii="Helvetica Neue" w:cs="Helvetica Neue" w:eastAsia="Helvetica Neue" w:hAnsi="Helvetica Neue"/>
        </w:rPr>
      </w:pPr>
      <w:r w:rsidDel="00000000" w:rsidR="00000000" w:rsidRPr="00000000">
        <w:rPr>
          <w:rtl w:val="0"/>
        </w:rPr>
      </w:r>
    </w:p>
    <w:tbl>
      <w:tblPr>
        <w:tblStyle w:val="Table4"/>
        <w:tblW w:w="158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560"/>
        <w:gridCol w:w="8250"/>
        <w:tblGridChange w:id="0">
          <w:tblGrid>
            <w:gridCol w:w="7560"/>
            <w:gridCol w:w="8250"/>
          </w:tblGrid>
        </w:tblGridChange>
      </w:tblGrid>
      <w:tr>
        <w:trPr>
          <w:trHeight w:val="500" w:hRule="atLeast"/>
        </w:trPr>
        <w:tc>
          <w:tcPr>
            <w:gridSpan w:val="2"/>
            <w:tcBorders>
              <w:top w:color="000000" w:space="0" w:sz="8" w:val="single"/>
              <w:left w:color="000000" w:space="0" w:sz="8" w:val="single"/>
              <w:bottom w:color="000000" w:space="0" w:sz="8" w:val="single"/>
              <w:right w:color="000000"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2A">
            <w:pPr>
              <w:spacing w:after="0" w:before="0" w:line="276"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ASSESSMENT Overview</w:t>
            </w:r>
          </w:p>
        </w:tc>
      </w:tr>
      <w:tr>
        <w:trPr>
          <w:trHeight w:val="46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Formative</w:t>
            </w:r>
            <w:r w:rsidDel="00000000" w:rsidR="00000000" w:rsidRPr="00000000">
              <w:rPr>
                <w:rFonts w:ascii="Helvetica Neue" w:cs="Helvetica Neue" w:eastAsia="Helvetica Neue" w:hAnsi="Helvetica Neue"/>
                <w:rtl w:val="0"/>
              </w:rPr>
              <w:t xml:space="preserve"> activities</w:t>
            </w:r>
          </w:p>
          <w:p w:rsidR="00000000" w:rsidDel="00000000" w:rsidP="00000000" w:rsidRDefault="00000000" w:rsidRPr="00000000" w14:paraId="0000002D">
            <w:pPr>
              <w:numPr>
                <w:ilvl w:val="0"/>
                <w:numId w:val="3"/>
              </w:numPr>
              <w:spacing w:after="0"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Personal rating systems 1-5</w:t>
            </w:r>
          </w:p>
          <w:p w:rsidR="00000000" w:rsidDel="00000000" w:rsidP="00000000" w:rsidRDefault="00000000" w:rsidRPr="00000000" w14:paraId="0000002E">
            <w:pPr>
              <w:numPr>
                <w:ilvl w:val="1"/>
                <w:numId w:val="3"/>
              </w:numPr>
              <w:spacing w:after="0" w:before="0" w:line="276"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Participation, understanding, effort, personal/social responsibility</w:t>
            </w:r>
          </w:p>
          <w:p w:rsidR="00000000" w:rsidDel="00000000" w:rsidP="00000000" w:rsidRDefault="00000000" w:rsidRPr="00000000" w14:paraId="0000002F">
            <w:pPr>
              <w:numPr>
                <w:ilvl w:val="0"/>
                <w:numId w:val="3"/>
              </w:numPr>
              <w:spacing w:after="0"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Journals</w:t>
            </w:r>
          </w:p>
          <w:p w:rsidR="00000000" w:rsidDel="00000000" w:rsidP="00000000" w:rsidRDefault="00000000" w:rsidRPr="00000000" w14:paraId="00000030">
            <w:pPr>
              <w:numPr>
                <w:ilvl w:val="1"/>
                <w:numId w:val="3"/>
              </w:numPr>
              <w:spacing w:after="0" w:before="0" w:line="276"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What have you been learning</w:t>
            </w:r>
          </w:p>
          <w:p w:rsidR="00000000" w:rsidDel="00000000" w:rsidP="00000000" w:rsidRDefault="00000000" w:rsidRPr="00000000" w14:paraId="00000031">
            <w:pPr>
              <w:numPr>
                <w:ilvl w:val="1"/>
                <w:numId w:val="3"/>
              </w:numPr>
              <w:spacing w:after="0" w:before="0" w:line="276"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How do you feel about it, easy/hard/confusing/boring/interesting, etc.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Summative</w:t>
            </w:r>
            <w:r w:rsidDel="00000000" w:rsidR="00000000" w:rsidRPr="00000000">
              <w:rPr>
                <w:rFonts w:ascii="Helvetica Neue" w:cs="Helvetica Neue" w:eastAsia="Helvetica Neue" w:hAnsi="Helvetica Neue"/>
                <w:rtl w:val="0"/>
              </w:rPr>
              <w:t xml:space="preserve"> activities</w:t>
            </w:r>
          </w:p>
          <w:p w:rsidR="00000000" w:rsidDel="00000000" w:rsidP="00000000" w:rsidRDefault="00000000" w:rsidRPr="00000000" w14:paraId="00000033">
            <w:pPr>
              <w:numPr>
                <w:ilvl w:val="0"/>
                <w:numId w:val="1"/>
              </w:numPr>
              <w:spacing w:after="0"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Rubrics for output at the end of some lessons</w:t>
            </w:r>
          </w:p>
          <w:p w:rsidR="00000000" w:rsidDel="00000000" w:rsidP="00000000" w:rsidRDefault="00000000" w:rsidRPr="00000000" w14:paraId="00000034">
            <w:pPr>
              <w:numPr>
                <w:ilvl w:val="1"/>
                <w:numId w:val="1"/>
              </w:numPr>
              <w:spacing w:after="0" w:before="0" w:line="276"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Filled out by Ss first, then teacher with final mark</w:t>
            </w:r>
          </w:p>
          <w:p w:rsidR="00000000" w:rsidDel="00000000" w:rsidP="00000000" w:rsidRDefault="00000000" w:rsidRPr="00000000" w14:paraId="00000035">
            <w:pPr>
              <w:numPr>
                <w:ilvl w:val="1"/>
                <w:numId w:val="1"/>
              </w:numPr>
              <w:spacing w:after="0" w:before="0" w:line="276"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Rubric dimensions (in general): content, organization, comprehension, personal and social responsibility</w:t>
            </w:r>
          </w:p>
          <w:p w:rsidR="00000000" w:rsidDel="00000000" w:rsidP="00000000" w:rsidRDefault="00000000" w:rsidRPr="00000000" w14:paraId="00000036">
            <w:pPr>
              <w:numPr>
                <w:ilvl w:val="1"/>
                <w:numId w:val="1"/>
              </w:numPr>
              <w:spacing w:after="0" w:before="0" w:line="276"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Rating system: emerging, developing, proficient, extending</w:t>
            </w:r>
          </w:p>
          <w:p w:rsidR="00000000" w:rsidDel="00000000" w:rsidP="00000000" w:rsidRDefault="00000000" w:rsidRPr="00000000" w14:paraId="00000037">
            <w:pPr>
              <w:numPr>
                <w:ilvl w:val="0"/>
                <w:numId w:val="1"/>
              </w:numPr>
              <w:spacing w:after="0"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Rubric for final projects</w:t>
            </w:r>
          </w:p>
          <w:p w:rsidR="00000000" w:rsidDel="00000000" w:rsidP="00000000" w:rsidRDefault="00000000" w:rsidRPr="00000000" w14:paraId="00000038">
            <w:pPr>
              <w:spacing w:after="0" w:before="0"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9">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A">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B">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C">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D">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E">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F">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0">
            <w:pPr>
              <w:spacing w:after="0" w:before="0" w:line="276"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41">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42">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3">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4">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5">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6">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7">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8">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9">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A">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B">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C">
      <w:pPr>
        <w:spacing w:after="0" w:before="0" w:line="276" w:lineRule="auto"/>
        <w:rPr>
          <w:rFonts w:ascii="Helvetica Neue" w:cs="Helvetica Neue" w:eastAsia="Helvetica Neue" w:hAnsi="Helvetica Neue"/>
        </w:rPr>
      </w:pPr>
      <w:r w:rsidDel="00000000" w:rsidR="00000000" w:rsidRPr="00000000">
        <w:rPr>
          <w:rtl w:val="0"/>
        </w:rPr>
      </w:r>
    </w:p>
    <w:tbl>
      <w:tblPr>
        <w:tblStyle w:val="Table5"/>
        <w:tblW w:w="158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770"/>
        <w:gridCol w:w="8085"/>
        <w:tblGridChange w:id="0">
          <w:tblGrid>
            <w:gridCol w:w="7770"/>
            <w:gridCol w:w="8085"/>
          </w:tblGrid>
        </w:tblGridChange>
      </w:tblGrid>
      <w:tr>
        <w:trPr>
          <w:trHeight w:val="500" w:hRule="atLeast"/>
        </w:trPr>
        <w:tc>
          <w:tcPr>
            <w:gridSpan w:val="2"/>
            <w:tcBorders>
              <w:top w:color="000000" w:space="0" w:sz="8" w:val="single"/>
              <w:left w:color="000000" w:space="0" w:sz="8" w:val="single"/>
              <w:bottom w:color="000000" w:space="0" w:sz="8" w:val="single"/>
              <w:right w:color="000000"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4D">
            <w:pPr>
              <w:spacing w:after="0" w:before="0" w:line="276" w:lineRule="auto"/>
              <w:jc w:val="center"/>
              <w:rPr>
                <w:rFonts w:ascii="Helvetica Neue" w:cs="Helvetica Neue" w:eastAsia="Helvetica Neue" w:hAnsi="Helvetica Neue"/>
                <w:b w:val="1"/>
              </w:rPr>
            </w:pPr>
            <w:r w:rsidDel="00000000" w:rsidR="00000000" w:rsidRPr="00000000">
              <w:rPr>
                <w:rtl w:val="0"/>
              </w:rPr>
            </w:r>
          </w:p>
        </w:tc>
      </w:tr>
    </w:tbl>
    <w:p w:rsidR="00000000" w:rsidDel="00000000" w:rsidP="00000000" w:rsidRDefault="00000000" w:rsidRPr="00000000" w14:paraId="0000004F">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0">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bl>
      <w:tblPr>
        <w:tblStyle w:val="Table6"/>
        <w:tblW w:w="158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95"/>
        <w:gridCol w:w="4710"/>
        <w:gridCol w:w="5640"/>
        <w:gridCol w:w="4425"/>
        <w:tblGridChange w:id="0">
          <w:tblGrid>
            <w:gridCol w:w="1095"/>
            <w:gridCol w:w="4710"/>
            <w:gridCol w:w="5640"/>
            <w:gridCol w:w="4425"/>
          </w:tblGrid>
        </w:tblGridChange>
      </w:tblGrid>
      <w:tr>
        <w:trPr>
          <w:trHeight w:val="1820" w:hRule="atLeast"/>
        </w:trPr>
        <w:tc>
          <w:tcPr>
            <w:gridSpan w:val="4"/>
            <w:tcBorders>
              <w:top w:color="000000" w:space="0" w:sz="8" w:val="single"/>
              <w:left w:color="000000" w:space="0" w:sz="8" w:val="single"/>
              <w:bottom w:color="000000" w:space="0" w:sz="8" w:val="single"/>
              <w:right w:color="000000"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51">
            <w:pPr>
              <w:spacing w:after="0" w:before="0"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2">
            <w:pPr>
              <w:spacing w:after="0" w:before="0" w:line="276"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SEQUENCED LEARNING EXPERIENCES:</w:t>
            </w:r>
            <w:r w:rsidDel="00000000" w:rsidR="00000000" w:rsidRPr="00000000">
              <w:rPr>
                <w:rFonts w:ascii="Helvetica Neue" w:cs="Helvetica Neue" w:eastAsia="Helvetica Neue" w:hAnsi="Helvetica Neue"/>
                <w:rtl w:val="0"/>
              </w:rPr>
              <w:t xml:space="preserve">  HOW you will guide students to achieve goals set at the outset of the unit</w:t>
            </w:r>
          </w:p>
          <w:p w:rsidR="00000000" w:rsidDel="00000000" w:rsidP="00000000" w:rsidRDefault="00000000" w:rsidRPr="00000000" w14:paraId="00000053">
            <w:pPr>
              <w:spacing w:after="0" w:before="0" w:line="276"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tc>
      </w:tr>
      <w:tr>
        <w:trPr>
          <w:trHeight w:val="15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after="0" w:before="0" w:line="276" w:lineRule="auto"/>
              <w:jc w:val="cente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Lesson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after="0" w:before="0" w:line="276" w:lineRule="auto"/>
              <w:jc w:val="cente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Lesson Title/brief description</w:t>
            </w:r>
          </w:p>
          <w:p w:rsidR="00000000" w:rsidDel="00000000" w:rsidP="00000000" w:rsidRDefault="00000000" w:rsidRPr="00000000" w14:paraId="00000059">
            <w:pPr>
              <w:spacing w:after="0" w:before="0" w:line="276" w:lineRule="auto"/>
              <w:jc w:val="cente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after="0" w:before="0" w:line="276" w:lineRule="auto"/>
              <w:jc w:val="cente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Summary of activities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after="0" w:before="0" w:line="276" w:lineRule="auto"/>
              <w:jc w:val="cente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Instructional Resources/key questions/goals</w:t>
            </w:r>
          </w:p>
        </w:tc>
      </w:tr>
      <w:tr>
        <w:trPr>
          <w:trHeight w:val="18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Identity bracelets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Students will create beaded bracelets where each bead is coloured to represent something about their identity. The activity is structured so colours are chosen from a list in a category (ex. Fave food out of a choice of 10) with the 10th color always being “other/not listed.”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Twine and beads needed.</w:t>
            </w:r>
          </w:p>
          <w:p w:rsidR="00000000" w:rsidDel="00000000" w:rsidP="00000000" w:rsidRDefault="00000000" w:rsidRPr="00000000" w14:paraId="00000060">
            <w:pPr>
              <w:spacing w:after="0" w:before="0" w:line="276" w:lineRule="auto"/>
              <w:rPr>
                <w:rFonts w:ascii="Helvetica Neue" w:cs="Helvetica Neue" w:eastAsia="Helvetica Neue" w:hAnsi="Helvetica Neue"/>
              </w:rPr>
            </w:pPr>
            <w:r w:rsidDel="00000000" w:rsidR="00000000" w:rsidRPr="00000000">
              <w:rPr>
                <w:rtl w:val="0"/>
              </w:rPr>
            </w:r>
          </w:p>
        </w:tc>
      </w:tr>
      <w:tr>
        <w:trPr>
          <w:trHeight w:val="18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is Culture? What is multiculturalism?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Cultures come in different categories (national, religious, social)</w:t>
            </w:r>
          </w:p>
          <w:p w:rsidR="00000000" w:rsidDel="00000000" w:rsidP="00000000" w:rsidRDefault="00000000" w:rsidRPr="00000000" w14:paraId="00000064">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5">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Exploring Indigenous culture as a living culture and through the past</w:t>
            </w:r>
          </w:p>
          <w:p w:rsidR="00000000" w:rsidDel="00000000" w:rsidP="00000000" w:rsidRDefault="00000000" w:rsidRPr="00000000" w14:paraId="00000066">
            <w:pPr>
              <w:numPr>
                <w:ilvl w:val="0"/>
                <w:numId w:val="2"/>
              </w:numPr>
              <w:spacing w:after="0"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Indigenous art/crafting</w:t>
            </w:r>
          </w:p>
          <w:p w:rsidR="00000000" w:rsidDel="00000000" w:rsidP="00000000" w:rsidRDefault="00000000" w:rsidRPr="00000000" w14:paraId="00000067">
            <w:pPr>
              <w:numPr>
                <w:ilvl w:val="0"/>
                <w:numId w:val="2"/>
              </w:numPr>
              <w:spacing w:after="0"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Seasonal routines</w:t>
            </w:r>
          </w:p>
          <w:p w:rsidR="00000000" w:rsidDel="00000000" w:rsidP="00000000" w:rsidRDefault="00000000" w:rsidRPr="00000000" w14:paraId="00000068">
            <w:pPr>
              <w:numPr>
                <w:ilvl w:val="0"/>
                <w:numId w:val="2"/>
              </w:numPr>
              <w:spacing w:after="0"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Education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spacing w:after="0" w:before="0" w:line="276" w:lineRule="auto"/>
              <w:rPr>
                <w:rFonts w:ascii="Helvetica Neue" w:cs="Helvetica Neue" w:eastAsia="Helvetica Neue" w:hAnsi="Helvetica Neue"/>
              </w:rPr>
            </w:pPr>
            <w:r w:rsidDel="00000000" w:rsidR="00000000" w:rsidRPr="00000000">
              <w:rPr>
                <w:rtl w:val="0"/>
              </w:rPr>
            </w:r>
          </w:p>
        </w:tc>
      </w:tr>
      <w:tr>
        <w:trPr>
          <w:trHeight w:val="18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Indigenous Storytelling Lesson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With permission, a non-Indigenous person may enact a story telling in an educational context using a transcribed version of a story.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spacing w:after="0" w:before="0" w:line="276" w:lineRule="auto"/>
              <w:rPr>
                <w:rFonts w:ascii="Helvetica Neue" w:cs="Helvetica Neue" w:eastAsia="Helvetica Neue" w:hAnsi="Helvetica Neue"/>
              </w:rPr>
            </w:pPr>
            <w:r w:rsidDel="00000000" w:rsidR="00000000" w:rsidRPr="00000000">
              <w:rPr>
                <w:rtl w:val="0"/>
              </w:rPr>
            </w:r>
          </w:p>
        </w:tc>
      </w:tr>
      <w:tr>
        <w:trPr>
          <w:trHeight w:val="18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spacing w:after="0" w:before="0" w:line="276" w:lineRule="auto"/>
              <w:rPr>
                <w:rFonts w:ascii="Helvetica Neue" w:cs="Helvetica Neue" w:eastAsia="Helvetica Neue" w:hAnsi="Helvetica Neu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Indigenous ways of teaching math and science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Connected to gardening, nature, learning through practical experiences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after="0" w:before="0" w:line="276" w:lineRule="auto"/>
              <w:rPr>
                <w:rFonts w:ascii="Helvetica Neue" w:cs="Helvetica Neue" w:eastAsia="Helvetica Neue" w:hAnsi="Helvetica Neue"/>
              </w:rPr>
            </w:pPr>
            <w:r w:rsidDel="00000000" w:rsidR="00000000" w:rsidRPr="00000000">
              <w:rPr>
                <w:rtl w:val="0"/>
              </w:rPr>
            </w:r>
          </w:p>
        </w:tc>
      </w:tr>
      <w:tr>
        <w:trPr>
          <w:trHeight w:val="18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Significant Events projects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spacing w:after="0"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Using analog and digital tools. The class will identify significant events/people and form groups to further break down the significance of each event/person, creating charts to quantify their findings, and ranking the events based on a class created significance scale. Each student will create a digital timeline of the top six events chosen by their groups.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spacing w:after="0" w:before="0" w:line="276" w:lineRule="auto"/>
              <w:rPr>
                <w:rFonts w:ascii="Helvetica Neue" w:cs="Helvetica Neue" w:eastAsia="Helvetica Neue" w:hAnsi="Helvetica Neue"/>
              </w:rPr>
            </w:pPr>
            <w:r w:rsidDel="00000000" w:rsidR="00000000" w:rsidRPr="00000000">
              <w:rPr>
                <w:rtl w:val="0"/>
              </w:rPr>
            </w:r>
          </w:p>
        </w:tc>
      </w:tr>
      <w:tr>
        <w:trPr>
          <w:trHeight w:val="1535" w:hRule="atLeast"/>
        </w:trPr>
        <w:tc>
          <w:tcPr>
            <w:gridSpan w:val="4"/>
            <w:tcBorders>
              <w:top w:color="000000" w:space="0" w:sz="0" w:val="nil"/>
              <w:left w:color="000000" w:space="0" w:sz="8" w:val="single"/>
              <w:bottom w:color="000000" w:space="0" w:sz="8" w:val="single"/>
              <w:right w:color="000000"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76">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77">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Cross-curriculum connections + Adaptations</w:t>
            </w:r>
          </w:p>
          <w:p w:rsidR="00000000" w:rsidDel="00000000" w:rsidP="00000000" w:rsidRDefault="00000000" w:rsidRPr="00000000" w14:paraId="00000078">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trHeight w:val="2585" w:hRule="atLeast"/>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D">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7E">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7F">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bl>
    <w:p w:rsidR="00000000" w:rsidDel="00000000" w:rsidP="00000000" w:rsidRDefault="00000000" w:rsidRPr="00000000" w14:paraId="00000083">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bl>
      <w:tblPr>
        <w:tblStyle w:val="Table7"/>
        <w:tblW w:w="157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0"/>
        <w:tblGridChange w:id="0">
          <w:tblGrid>
            <w:gridCol w:w="15750"/>
          </w:tblGrid>
        </w:tblGridChange>
      </w:tblGrid>
      <w:tr>
        <w:trPr>
          <w:trHeight w:val="20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5">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86">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87">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bl>
    <w:p w:rsidR="00000000" w:rsidDel="00000000" w:rsidP="00000000" w:rsidRDefault="00000000" w:rsidRPr="00000000" w14:paraId="00000088">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89">
      <w:pPr>
        <w:spacing w:after="0" w:before="0" w:line="276" w:lineRule="auto"/>
        <w:rPr>
          <w:rFonts w:ascii="Helvetica Neue" w:cs="Helvetica Neue" w:eastAsia="Helvetica Neue" w:hAnsi="Helvetica Neue"/>
        </w:rPr>
      </w:pPr>
      <w:r w:rsidDel="00000000" w:rsidR="00000000" w:rsidRPr="00000000">
        <w:rPr>
          <w:rtl w:val="0"/>
        </w:rPr>
      </w:r>
    </w:p>
    <w:sectPr>
      <w:pgSz w:h="11906" w:w="16838"/>
      <w:pgMar w:bottom="425.1968503937008" w:top="425.1968503937008" w:left="425.1968503937008" w:right="425.1968503937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