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0C" w:rsidRPr="00C36C0C" w:rsidRDefault="00C36C0C" w:rsidP="00C36C0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Monster </w:t>
      </w:r>
      <w:proofErr w:type="gramStart"/>
      <w:r>
        <w:rPr>
          <w:b/>
          <w:sz w:val="24"/>
          <w:szCs w:val="24"/>
        </w:rPr>
        <w:t>Under</w:t>
      </w:r>
      <w:proofErr w:type="gramEnd"/>
      <w:r>
        <w:rPr>
          <w:b/>
          <w:sz w:val="24"/>
          <w:szCs w:val="24"/>
        </w:rPr>
        <w:t xml:space="preserve"> the Bed</w:t>
      </w:r>
    </w:p>
    <w:p w:rsidR="00C36C0C" w:rsidRPr="00C36C0C" w:rsidRDefault="00D37620" w:rsidP="00C36C0C">
      <w:pPr>
        <w:spacing w:after="0" w:line="240" w:lineRule="auto"/>
        <w:rPr>
          <w:b/>
          <w:sz w:val="24"/>
          <w:szCs w:val="24"/>
        </w:rPr>
      </w:pPr>
      <w:r w:rsidRPr="00C36C0C">
        <w:rPr>
          <w:b/>
          <w:sz w:val="24"/>
          <w:szCs w:val="24"/>
        </w:rPr>
        <w:t>Cover Sheet</w:t>
      </w:r>
    </w:p>
    <w:p w:rsidR="00C36C0C" w:rsidRPr="00D37620" w:rsidRDefault="00C36C0C" w:rsidP="00C36C0C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37620" w:rsidRPr="00D37620" w:rsidTr="00D37620">
        <w:tc>
          <w:tcPr>
            <w:tcW w:w="9576" w:type="dxa"/>
          </w:tcPr>
          <w:p w:rsidR="00D37620" w:rsidRPr="00C36C0C" w:rsidRDefault="00D37620" w:rsidP="00C36C0C">
            <w:pPr>
              <w:rPr>
                <w:b/>
                <w:sz w:val="24"/>
                <w:szCs w:val="24"/>
              </w:rPr>
            </w:pPr>
            <w:r w:rsidRPr="00C36C0C">
              <w:rPr>
                <w:b/>
                <w:sz w:val="24"/>
                <w:szCs w:val="24"/>
              </w:rPr>
              <w:t>Code</w:t>
            </w:r>
          </w:p>
        </w:tc>
      </w:tr>
      <w:tr w:rsidR="00D37620" w:rsidRPr="00D37620" w:rsidTr="00D37620">
        <w:tc>
          <w:tcPr>
            <w:tcW w:w="9576" w:type="dxa"/>
          </w:tcPr>
          <w:p w:rsidR="00D37620" w:rsidRPr="00D37620" w:rsidRDefault="00C36C0C" w:rsidP="00C36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61DAK---</w:t>
            </w:r>
          </w:p>
        </w:tc>
      </w:tr>
      <w:tr w:rsidR="00D37620" w:rsidRPr="00D37620" w:rsidTr="00D37620">
        <w:tc>
          <w:tcPr>
            <w:tcW w:w="9576" w:type="dxa"/>
          </w:tcPr>
          <w:p w:rsidR="00D37620" w:rsidRPr="00C36C0C" w:rsidRDefault="00D37620" w:rsidP="00C36C0C">
            <w:pPr>
              <w:rPr>
                <w:b/>
                <w:sz w:val="24"/>
                <w:szCs w:val="24"/>
              </w:rPr>
            </w:pPr>
            <w:r w:rsidRPr="00C36C0C">
              <w:rPr>
                <w:b/>
                <w:sz w:val="24"/>
                <w:szCs w:val="24"/>
              </w:rPr>
              <w:t>Context</w:t>
            </w:r>
          </w:p>
        </w:tc>
      </w:tr>
      <w:tr w:rsidR="00D37620" w:rsidRPr="00D37620" w:rsidTr="00D37620">
        <w:tc>
          <w:tcPr>
            <w:tcW w:w="9576" w:type="dxa"/>
          </w:tcPr>
          <w:p w:rsidR="00D37620" w:rsidRPr="00D37620" w:rsidRDefault="00C36C0C" w:rsidP="00C36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participated in a workshop. They looked at and discussed the work of Maurice </w:t>
            </w:r>
            <w:proofErr w:type="spellStart"/>
            <w:r>
              <w:rPr>
                <w:sz w:val="24"/>
                <w:szCs w:val="24"/>
              </w:rPr>
              <w:t>Sendak</w:t>
            </w:r>
            <w:proofErr w:type="spellEnd"/>
            <w:r>
              <w:rPr>
                <w:sz w:val="24"/>
                <w:szCs w:val="24"/>
              </w:rPr>
              <w:t xml:space="preserve"> in “Where the Wild Things Are”. The task was to create composite creatures. Once they were created we named them, wrote about them, and made a movie to share them.</w:t>
            </w:r>
          </w:p>
        </w:tc>
      </w:tr>
      <w:tr w:rsidR="00D37620" w:rsidRPr="00D37620" w:rsidTr="00D37620">
        <w:tc>
          <w:tcPr>
            <w:tcW w:w="9576" w:type="dxa"/>
          </w:tcPr>
          <w:p w:rsidR="00D37620" w:rsidRPr="00C36C0C" w:rsidRDefault="00D37620" w:rsidP="00C36C0C">
            <w:pPr>
              <w:rPr>
                <w:b/>
                <w:sz w:val="24"/>
                <w:szCs w:val="24"/>
              </w:rPr>
            </w:pPr>
            <w:r w:rsidRPr="00C36C0C">
              <w:rPr>
                <w:b/>
                <w:sz w:val="24"/>
                <w:szCs w:val="24"/>
              </w:rPr>
              <w:t>Aspects</w:t>
            </w:r>
          </w:p>
        </w:tc>
      </w:tr>
      <w:tr w:rsidR="00D37620" w:rsidRPr="00D37620" w:rsidTr="00D37620">
        <w:tc>
          <w:tcPr>
            <w:tcW w:w="9576" w:type="dxa"/>
          </w:tcPr>
          <w:p w:rsidR="00D37620" w:rsidRPr="00D37620" w:rsidRDefault="00C36C0C" w:rsidP="00C36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sure, I think I missed this part of the meeting….</w:t>
            </w:r>
          </w:p>
        </w:tc>
      </w:tr>
      <w:tr w:rsidR="00D37620" w:rsidRPr="00D37620" w:rsidTr="00D37620">
        <w:tc>
          <w:tcPr>
            <w:tcW w:w="9576" w:type="dxa"/>
          </w:tcPr>
          <w:p w:rsidR="00D37620" w:rsidRPr="00C36C0C" w:rsidRDefault="00D37620" w:rsidP="00C36C0C">
            <w:pPr>
              <w:rPr>
                <w:b/>
                <w:sz w:val="24"/>
                <w:szCs w:val="24"/>
              </w:rPr>
            </w:pPr>
            <w:r w:rsidRPr="00C36C0C">
              <w:rPr>
                <w:b/>
                <w:sz w:val="24"/>
                <w:szCs w:val="24"/>
              </w:rPr>
              <w:t>“I” Statements</w:t>
            </w:r>
          </w:p>
        </w:tc>
      </w:tr>
      <w:tr w:rsidR="00D37620" w:rsidRPr="00D37620" w:rsidTr="00D37620">
        <w:tc>
          <w:tcPr>
            <w:tcW w:w="9576" w:type="dxa"/>
          </w:tcPr>
          <w:p w:rsidR="00D37620" w:rsidRPr="00D37620" w:rsidRDefault="00C36C0C" w:rsidP="00C36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had to decide on parts to create a whole and make a monster that appealed to themselves and their classmates. </w:t>
            </w:r>
          </w:p>
        </w:tc>
      </w:tr>
      <w:tr w:rsidR="00D37620" w:rsidRPr="00D37620" w:rsidTr="00D37620">
        <w:tc>
          <w:tcPr>
            <w:tcW w:w="9576" w:type="dxa"/>
          </w:tcPr>
          <w:p w:rsidR="00D37620" w:rsidRPr="00C36C0C" w:rsidRDefault="00D37620" w:rsidP="00C36C0C">
            <w:pPr>
              <w:rPr>
                <w:b/>
                <w:sz w:val="24"/>
                <w:szCs w:val="24"/>
              </w:rPr>
            </w:pPr>
            <w:r w:rsidRPr="00C36C0C">
              <w:rPr>
                <w:b/>
                <w:sz w:val="24"/>
                <w:szCs w:val="24"/>
              </w:rPr>
              <w:t>Insights</w:t>
            </w:r>
          </w:p>
        </w:tc>
      </w:tr>
      <w:tr w:rsidR="00D37620" w:rsidRPr="00D37620" w:rsidTr="00D37620">
        <w:tc>
          <w:tcPr>
            <w:tcW w:w="9576" w:type="dxa"/>
          </w:tcPr>
          <w:p w:rsidR="00D37620" w:rsidRPr="00D37620" w:rsidRDefault="00C36C0C" w:rsidP="00C36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idea to make a movie about monsters under the bead came from a connection with “Monsters Inc.” We had a full conversation about imaginary monsters and how some of us are still scared when we try to sleep in the dark.</w:t>
            </w:r>
          </w:p>
        </w:tc>
      </w:tr>
    </w:tbl>
    <w:p w:rsidR="00D37620" w:rsidRDefault="00D37620">
      <w:bookmarkStart w:id="0" w:name="_GoBack"/>
      <w:bookmarkEnd w:id="0"/>
    </w:p>
    <w:sectPr w:rsidR="00D376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20"/>
    <w:rsid w:val="00BC328A"/>
    <w:rsid w:val="00C36C0C"/>
    <w:rsid w:val="00CD6E34"/>
    <w:rsid w:val="00D3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7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7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2013-06-19T05:35:00Z</dcterms:created>
  <dcterms:modified xsi:type="dcterms:W3CDTF">2013-06-19T05:35:00Z</dcterms:modified>
</cp:coreProperties>
</file>