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82FC" w14:textId="002A02C6" w:rsidR="001C36A9" w:rsidRPr="008F7D63" w:rsidRDefault="001C36A9" w:rsidP="001C36A9">
      <w:pPr>
        <w:spacing w:before="0" w:after="0"/>
        <w:rPr>
          <w:color w:val="000000" w:themeColor="text1"/>
        </w:rPr>
      </w:pPr>
      <w:r w:rsidRPr="008F7D63">
        <w:rPr>
          <w:color w:val="000000" w:themeColor="text1"/>
        </w:rPr>
        <w:t>To:</w:t>
      </w:r>
      <w:r w:rsidR="003B1018" w:rsidRPr="008F7D63">
        <w:rPr>
          <w:color w:val="000000" w:themeColor="text1"/>
        </w:rPr>
        <w:tab/>
      </w:r>
      <w:r w:rsidR="003B1018" w:rsidRPr="008F7D63">
        <w:rPr>
          <w:color w:val="000000" w:themeColor="text1"/>
        </w:rPr>
        <w:tab/>
      </w:r>
      <w:r w:rsidR="00582178">
        <w:rPr>
          <w:color w:val="000000" w:themeColor="text1"/>
        </w:rPr>
        <w:t>Dr. Erika Patterson</w:t>
      </w:r>
    </w:p>
    <w:p w14:paraId="616E99A3" w14:textId="46FB0B29" w:rsidR="001C36A9" w:rsidRPr="008F7D63" w:rsidRDefault="001C36A9" w:rsidP="001C36A9">
      <w:pPr>
        <w:spacing w:before="0" w:after="0"/>
        <w:rPr>
          <w:color w:val="000000" w:themeColor="text1"/>
        </w:rPr>
      </w:pPr>
      <w:r w:rsidRPr="008F7D63">
        <w:rPr>
          <w:color w:val="000000" w:themeColor="text1"/>
        </w:rPr>
        <w:t>From</w:t>
      </w:r>
      <w:r w:rsidR="003B1018" w:rsidRPr="008F7D63">
        <w:rPr>
          <w:color w:val="000000" w:themeColor="text1"/>
        </w:rPr>
        <w:t>:</w:t>
      </w:r>
      <w:r w:rsidR="003B1018" w:rsidRPr="008F7D63">
        <w:rPr>
          <w:color w:val="000000" w:themeColor="text1"/>
        </w:rPr>
        <w:tab/>
      </w:r>
      <w:r w:rsidR="003B1018" w:rsidRPr="008F7D63">
        <w:rPr>
          <w:color w:val="000000" w:themeColor="text1"/>
        </w:rPr>
        <w:tab/>
        <w:t>Ben Maxfield</w:t>
      </w:r>
    </w:p>
    <w:p w14:paraId="46BBDF9C" w14:textId="020BADCA" w:rsidR="001C36A9" w:rsidRPr="008F7D63" w:rsidRDefault="001C36A9" w:rsidP="001C36A9">
      <w:pPr>
        <w:spacing w:before="0" w:after="0"/>
        <w:rPr>
          <w:color w:val="000000" w:themeColor="text1"/>
        </w:rPr>
      </w:pPr>
      <w:r w:rsidRPr="008F7D63">
        <w:rPr>
          <w:color w:val="000000" w:themeColor="text1"/>
        </w:rPr>
        <w:t>Dat</w:t>
      </w:r>
      <w:r w:rsidR="003B1018" w:rsidRPr="008F7D63">
        <w:rPr>
          <w:color w:val="000000" w:themeColor="text1"/>
        </w:rPr>
        <w:t>e:</w:t>
      </w:r>
      <w:r w:rsidR="003B1018" w:rsidRPr="008F7D63">
        <w:rPr>
          <w:color w:val="000000" w:themeColor="text1"/>
        </w:rPr>
        <w:tab/>
      </w:r>
      <w:r w:rsidR="003B1018" w:rsidRPr="008F7D63">
        <w:rPr>
          <w:color w:val="000000" w:themeColor="text1"/>
        </w:rPr>
        <w:tab/>
        <w:t>February 15, 2022</w:t>
      </w:r>
      <w:r w:rsidRPr="008F7D63">
        <w:rPr>
          <w:color w:val="000000" w:themeColor="text1"/>
        </w:rPr>
        <w:tab/>
      </w:r>
      <w:r w:rsidRPr="008F7D63">
        <w:rPr>
          <w:color w:val="000000" w:themeColor="text1"/>
        </w:rPr>
        <w:tab/>
      </w:r>
    </w:p>
    <w:p w14:paraId="464A4E55" w14:textId="0414BC00" w:rsidR="001C36A9" w:rsidRPr="008F7D63" w:rsidRDefault="001C36A9" w:rsidP="00582178">
      <w:pPr>
        <w:spacing w:before="0" w:after="0"/>
        <w:ind w:left="1440" w:hanging="1440"/>
        <w:rPr>
          <w:color w:val="000000" w:themeColor="text1"/>
        </w:rPr>
      </w:pPr>
      <w:r w:rsidRPr="008F7D63">
        <w:rPr>
          <w:color w:val="000000" w:themeColor="text1"/>
        </w:rPr>
        <w:t>Subject:</w:t>
      </w:r>
      <w:r w:rsidR="003B1018" w:rsidRPr="008F7D63">
        <w:rPr>
          <w:color w:val="000000" w:themeColor="text1"/>
        </w:rPr>
        <w:t xml:space="preserve"> </w:t>
      </w:r>
      <w:r w:rsidR="003B1018" w:rsidRPr="008F7D63">
        <w:rPr>
          <w:color w:val="000000" w:themeColor="text1"/>
        </w:rPr>
        <w:tab/>
        <w:t xml:space="preserve">Improving the Quality and Accessibility of Financial Literacy Resources Available to UBC Students </w:t>
      </w:r>
    </w:p>
    <w:p w14:paraId="3FF0E2F4" w14:textId="3FADA29F" w:rsidR="00D61C96" w:rsidRPr="008F7D63" w:rsidRDefault="001C36A9" w:rsidP="006C7011">
      <w:pPr>
        <w:pStyle w:val="Heading2"/>
      </w:pPr>
      <w:r w:rsidRPr="008F7D63">
        <w:t>Introduction</w:t>
      </w:r>
    </w:p>
    <w:p w14:paraId="6C84BAF3" w14:textId="1E6B4963" w:rsidR="00E05073" w:rsidRPr="003E2AD0" w:rsidRDefault="00DC3864" w:rsidP="003E2AD0">
      <w:pPr>
        <w:rPr>
          <w:color w:val="000000" w:themeColor="text1"/>
        </w:rPr>
      </w:pPr>
      <w:r w:rsidRPr="003E2AD0">
        <w:rPr>
          <w:color w:val="000000" w:themeColor="text1"/>
        </w:rPr>
        <w:t xml:space="preserve">Beginning an undergraduate degree is </w:t>
      </w:r>
      <w:r w:rsidR="00A461EE" w:rsidRPr="003E2AD0">
        <w:rPr>
          <w:color w:val="000000" w:themeColor="text1"/>
        </w:rPr>
        <w:t>typically accompanied by an increased number of personal responsibilities</w:t>
      </w:r>
      <w:r w:rsidR="005C17EC" w:rsidRPr="003E2AD0">
        <w:rPr>
          <w:color w:val="000000" w:themeColor="text1"/>
        </w:rPr>
        <w:t>, including a freedom to access financial products.</w:t>
      </w:r>
      <w:r w:rsidR="00157264" w:rsidRPr="003E2AD0">
        <w:rPr>
          <w:color w:val="000000" w:themeColor="text1"/>
        </w:rPr>
        <w:t xml:space="preserve"> </w:t>
      </w:r>
      <w:r w:rsidR="00461221" w:rsidRPr="003E2AD0">
        <w:rPr>
          <w:color w:val="000000" w:themeColor="text1"/>
        </w:rPr>
        <w:t>S</w:t>
      </w:r>
      <w:r w:rsidR="00157264" w:rsidRPr="003E2AD0">
        <w:rPr>
          <w:color w:val="000000" w:themeColor="text1"/>
        </w:rPr>
        <w:t xml:space="preserve">tudents must learn to </w:t>
      </w:r>
      <w:r w:rsidR="00461221" w:rsidRPr="003E2AD0">
        <w:rPr>
          <w:color w:val="000000" w:themeColor="text1"/>
        </w:rPr>
        <w:t xml:space="preserve">budget, </w:t>
      </w:r>
      <w:r w:rsidR="00157264" w:rsidRPr="003E2AD0">
        <w:rPr>
          <w:color w:val="000000" w:themeColor="text1"/>
        </w:rPr>
        <w:t>use credit cards</w:t>
      </w:r>
      <w:r w:rsidR="00461221" w:rsidRPr="003E2AD0">
        <w:rPr>
          <w:color w:val="000000" w:themeColor="text1"/>
        </w:rPr>
        <w:t xml:space="preserve"> responsibly</w:t>
      </w:r>
      <w:r w:rsidR="00157264" w:rsidRPr="003E2AD0">
        <w:rPr>
          <w:color w:val="000000" w:themeColor="text1"/>
        </w:rPr>
        <w:t>, and</w:t>
      </w:r>
      <w:r w:rsidR="008F7D63" w:rsidRPr="003E2AD0">
        <w:rPr>
          <w:color w:val="000000" w:themeColor="text1"/>
        </w:rPr>
        <w:t xml:space="preserve"> manage student loan</w:t>
      </w:r>
      <w:r w:rsidR="00E05073" w:rsidRPr="003E2AD0">
        <w:rPr>
          <w:color w:val="000000" w:themeColor="text1"/>
        </w:rPr>
        <w:t xml:space="preserve">s. This set of responsibilities </w:t>
      </w:r>
      <w:r w:rsidR="00384647" w:rsidRPr="003E2AD0">
        <w:rPr>
          <w:color w:val="000000" w:themeColor="text1"/>
        </w:rPr>
        <w:t>h</w:t>
      </w:r>
      <w:r w:rsidR="00E05073" w:rsidRPr="003E2AD0">
        <w:rPr>
          <w:color w:val="000000" w:themeColor="text1"/>
        </w:rPr>
        <w:t xml:space="preserve">as remained relatively static </w:t>
      </w:r>
      <w:r w:rsidR="003E2AD0">
        <w:rPr>
          <w:color w:val="000000" w:themeColor="text1"/>
        </w:rPr>
        <w:t>in</w:t>
      </w:r>
      <w:r w:rsidR="00E05073" w:rsidRPr="003E2AD0">
        <w:rPr>
          <w:color w:val="000000" w:themeColor="text1"/>
        </w:rPr>
        <w:t xml:space="preserve"> </w:t>
      </w:r>
      <w:r w:rsidR="00384647" w:rsidRPr="003E2AD0">
        <w:rPr>
          <w:color w:val="000000" w:themeColor="text1"/>
        </w:rPr>
        <w:t>modern times</w:t>
      </w:r>
      <w:r w:rsidR="00E05073" w:rsidRPr="003E2AD0">
        <w:rPr>
          <w:color w:val="000000" w:themeColor="text1"/>
        </w:rPr>
        <w:t xml:space="preserve">. </w:t>
      </w:r>
    </w:p>
    <w:p w14:paraId="49AC5C94" w14:textId="09BBE292" w:rsidR="00FB6DF7" w:rsidRPr="00B00C01" w:rsidRDefault="00720FE0" w:rsidP="008F7D63">
      <w:p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The “Democratization</w:t>
      </w:r>
      <w:r w:rsidR="00287EF8" w:rsidRPr="00B00C01">
        <w:rPr>
          <w:rFonts w:ascii="Helvetica" w:hAnsi="Helvetica"/>
          <w:color w:val="000000" w:themeColor="text1"/>
        </w:rPr>
        <w:t xml:space="preserve"> of Finance” refers to the elimination of intermediaries between consumers and financial products. Ordinary consumers</w:t>
      </w:r>
      <w:r w:rsidR="003E0C26" w:rsidRPr="00B00C01">
        <w:rPr>
          <w:rFonts w:ascii="Helvetica" w:hAnsi="Helvetica"/>
          <w:color w:val="000000" w:themeColor="text1"/>
        </w:rPr>
        <w:t xml:space="preserve"> now</w:t>
      </w:r>
      <w:r w:rsidR="00287EF8" w:rsidRPr="00B00C01">
        <w:rPr>
          <w:rFonts w:ascii="Helvetica" w:hAnsi="Helvetica"/>
          <w:color w:val="000000" w:themeColor="text1"/>
        </w:rPr>
        <w:t xml:space="preserve"> have increasingly cheap and convenient access to credit, securities, and derivatives.</w:t>
      </w:r>
      <w:r w:rsidR="000970F3" w:rsidRPr="00B00C01">
        <w:rPr>
          <w:rFonts w:ascii="Helvetica" w:hAnsi="Helvetica"/>
          <w:color w:val="000000" w:themeColor="text1"/>
        </w:rPr>
        <w:t xml:space="preserve"> University students are squarely within the target demographic for this new generation of financial products. As a result, the knowledge-base that comprises “good” financial literacy has expanded significantly in </w:t>
      </w:r>
      <w:r w:rsidR="00D65418" w:rsidRPr="00B00C01">
        <w:rPr>
          <w:rFonts w:ascii="Helvetica" w:hAnsi="Helvetica"/>
          <w:color w:val="000000" w:themeColor="text1"/>
        </w:rPr>
        <w:t xml:space="preserve">only a few years. </w:t>
      </w:r>
      <w:r w:rsidR="003E0C26" w:rsidRPr="00B00C01">
        <w:rPr>
          <w:rFonts w:ascii="Helvetica" w:hAnsi="Helvetica"/>
          <w:color w:val="000000" w:themeColor="text1"/>
        </w:rPr>
        <w:t xml:space="preserve">Because most of these products enable access to markets, the potential harm of financial literacy has also increased. </w:t>
      </w:r>
    </w:p>
    <w:p w14:paraId="6F5D60FF" w14:textId="7C13FA04" w:rsidR="001C36A9" w:rsidRDefault="001C36A9" w:rsidP="006C7011">
      <w:pPr>
        <w:pStyle w:val="Heading2"/>
      </w:pPr>
      <w:r w:rsidRPr="008F7D63">
        <w:t>Statement of Problem</w:t>
      </w:r>
    </w:p>
    <w:p w14:paraId="256B53AE" w14:textId="3AB197F5" w:rsidR="00720FE0" w:rsidRPr="00B00C01" w:rsidRDefault="00A3289B" w:rsidP="00720FE0">
      <w:p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Existing financial literacy efforts have failed to resonate with most students at a time when the risk of financial illiteracy</w:t>
      </w:r>
      <w:r w:rsidR="000E46DE" w:rsidRPr="00B00C01">
        <w:rPr>
          <w:rFonts w:ascii="Helvetica" w:hAnsi="Helvetica"/>
          <w:color w:val="000000" w:themeColor="text1"/>
        </w:rPr>
        <w:t xml:space="preserve"> is growing</w:t>
      </w:r>
      <w:r w:rsidRPr="00B00C01">
        <w:rPr>
          <w:rFonts w:ascii="Helvetica" w:hAnsi="Helvetica"/>
          <w:color w:val="000000" w:themeColor="text1"/>
        </w:rPr>
        <w:t>.</w:t>
      </w:r>
      <w:r w:rsidR="0094536A" w:rsidRPr="00B00C01">
        <w:rPr>
          <w:rFonts w:ascii="Helvetica" w:hAnsi="Helvetica"/>
          <w:color w:val="000000" w:themeColor="text1"/>
        </w:rPr>
        <w:t xml:space="preserve"> The implications of this knowledge-gap are threefold: (1) Students require more resources to make informed judgements about the products offered to them, (2) th</w:t>
      </w:r>
      <w:r w:rsidR="008B629C" w:rsidRPr="00B00C01">
        <w:rPr>
          <w:rFonts w:ascii="Helvetica" w:hAnsi="Helvetica"/>
          <w:color w:val="000000" w:themeColor="text1"/>
        </w:rPr>
        <w:t>e</w:t>
      </w:r>
      <w:r w:rsidR="000E46DE" w:rsidRPr="00B00C01">
        <w:rPr>
          <w:rFonts w:ascii="Helvetica" w:hAnsi="Helvetica"/>
          <w:color w:val="000000" w:themeColor="text1"/>
        </w:rPr>
        <w:t xml:space="preserve"> complexity of </w:t>
      </w:r>
      <w:r w:rsidR="0094536A" w:rsidRPr="00B00C01">
        <w:rPr>
          <w:rFonts w:ascii="Helvetica" w:hAnsi="Helvetica"/>
          <w:color w:val="000000" w:themeColor="text1"/>
        </w:rPr>
        <w:t xml:space="preserve">financial products marketed to students continues to increase, and (3) </w:t>
      </w:r>
      <w:r w:rsidR="000E46DE" w:rsidRPr="00B00C01">
        <w:rPr>
          <w:rFonts w:ascii="Helvetica" w:hAnsi="Helvetica"/>
          <w:color w:val="000000" w:themeColor="text1"/>
        </w:rPr>
        <w:t xml:space="preserve">the </w:t>
      </w:r>
      <w:r w:rsidR="0094536A" w:rsidRPr="00B00C01">
        <w:rPr>
          <w:rFonts w:ascii="Helvetica" w:hAnsi="Helvetica"/>
          <w:color w:val="000000" w:themeColor="text1"/>
        </w:rPr>
        <w:t>new</w:t>
      </w:r>
      <w:r w:rsidR="000E46DE" w:rsidRPr="00B00C01">
        <w:rPr>
          <w:rFonts w:ascii="Helvetica" w:hAnsi="Helvetica"/>
          <w:color w:val="000000" w:themeColor="text1"/>
        </w:rPr>
        <w:t>est</w:t>
      </w:r>
      <w:r w:rsidR="0094536A" w:rsidRPr="00B00C01">
        <w:rPr>
          <w:rFonts w:ascii="Helvetica" w:hAnsi="Helvetica"/>
          <w:color w:val="000000" w:themeColor="text1"/>
        </w:rPr>
        <w:t xml:space="preserve"> products </w:t>
      </w:r>
      <w:r w:rsidR="000E46DE" w:rsidRPr="00B00C01">
        <w:rPr>
          <w:rFonts w:ascii="Helvetica" w:hAnsi="Helvetica"/>
          <w:color w:val="000000" w:themeColor="text1"/>
        </w:rPr>
        <w:t xml:space="preserve">gamify </w:t>
      </w:r>
      <w:r w:rsidR="0094536A" w:rsidRPr="00B00C01">
        <w:rPr>
          <w:rFonts w:ascii="Helvetica" w:hAnsi="Helvetica"/>
          <w:color w:val="000000" w:themeColor="text1"/>
        </w:rPr>
        <w:t xml:space="preserve">exposure to speculative securities, derivatives, and cryptocurrencies. </w:t>
      </w:r>
      <w:r w:rsidR="000E46DE" w:rsidRPr="00B00C01">
        <w:rPr>
          <w:rFonts w:ascii="Helvetica" w:hAnsi="Helvetica"/>
          <w:color w:val="000000" w:themeColor="text1"/>
        </w:rPr>
        <w:t xml:space="preserve">If financial literacy is to improve, it must keep pace with the set of products that students will encounter. </w:t>
      </w:r>
    </w:p>
    <w:p w14:paraId="14E27FF7" w14:textId="51598194" w:rsidR="001C36A9" w:rsidRDefault="001C36A9" w:rsidP="006C7011">
      <w:pPr>
        <w:pStyle w:val="Heading2"/>
      </w:pPr>
      <w:r w:rsidRPr="008F7D63">
        <w:t>Possible Solution</w:t>
      </w:r>
    </w:p>
    <w:p w14:paraId="71CCE1FB" w14:textId="14D6B8CD" w:rsidR="000E46DE" w:rsidRPr="00B00C01" w:rsidRDefault="000E46DE" w:rsidP="000E46DE">
      <w:p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 xml:space="preserve">One possible solution is </w:t>
      </w:r>
      <w:r w:rsidR="00582178" w:rsidRPr="00B00C01">
        <w:rPr>
          <w:rFonts w:ascii="Helvetica" w:hAnsi="Helvetica"/>
          <w:color w:val="000000" w:themeColor="text1"/>
        </w:rPr>
        <w:t>the composite of two primary goals:</w:t>
      </w:r>
    </w:p>
    <w:p w14:paraId="0C7C5556" w14:textId="65A80F54" w:rsidR="00582178" w:rsidRPr="00B00C01" w:rsidRDefault="00582178" w:rsidP="00582178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Modernizing the existing UBC &amp; AMS financial literacy resources</w:t>
      </w:r>
    </w:p>
    <w:p w14:paraId="188A3606" w14:textId="77777777" w:rsidR="00582178" w:rsidRPr="00B00C01" w:rsidRDefault="00582178" w:rsidP="00582178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Producing additional resources to keep pace with the state of financial products</w:t>
      </w:r>
    </w:p>
    <w:p w14:paraId="16FC2385" w14:textId="6547374D" w:rsidR="00582178" w:rsidRPr="00B00C01" w:rsidRDefault="008B629C" w:rsidP="00582178">
      <w:p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 xml:space="preserve">This approach aims </w:t>
      </w:r>
      <w:r w:rsidR="00520620">
        <w:rPr>
          <w:rFonts w:ascii="Helvetica" w:hAnsi="Helvetica"/>
          <w:color w:val="000000" w:themeColor="text1"/>
        </w:rPr>
        <w:t>address two primary problem areas. The first being an existing disconnect between financial literacy resources and the interests of students, and the second</w:t>
      </w:r>
      <w:r w:rsidR="007E38AD">
        <w:rPr>
          <w:rFonts w:ascii="Helvetica" w:hAnsi="Helvetica"/>
          <w:color w:val="000000" w:themeColor="text1"/>
        </w:rPr>
        <w:t xml:space="preserve"> being the gap between existing financial literacy materials, and the types of products students are likely to encounter. </w:t>
      </w:r>
      <w:r w:rsidR="00520620">
        <w:rPr>
          <w:rFonts w:ascii="Helvetica" w:hAnsi="Helvetica"/>
          <w:color w:val="000000" w:themeColor="text1"/>
        </w:rPr>
        <w:t xml:space="preserve"> </w:t>
      </w:r>
    </w:p>
    <w:p w14:paraId="38E9E98F" w14:textId="029C5E57" w:rsidR="001C36A9" w:rsidRDefault="001C36A9" w:rsidP="006C7011">
      <w:pPr>
        <w:pStyle w:val="Heading2"/>
      </w:pPr>
      <w:r w:rsidRPr="008F7D63">
        <w:t>Scope</w:t>
      </w:r>
    </w:p>
    <w:p w14:paraId="6BB87B09" w14:textId="4FDD6649" w:rsidR="008B629C" w:rsidRPr="00B00C01" w:rsidRDefault="008B629C" w:rsidP="00C903F6">
      <w:p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To make the most relevant and effective recommendations for new financial literacy resources, I plan to pursue the following areas of inquiry:</w:t>
      </w:r>
    </w:p>
    <w:p w14:paraId="43DBDC30" w14:textId="02A8C6AE" w:rsidR="00C903F6" w:rsidRPr="00B00C01" w:rsidRDefault="008B629C" w:rsidP="0082147F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What are the existing financial literacy resources provided by the UBC and AMS?</w:t>
      </w:r>
    </w:p>
    <w:p w14:paraId="1FDAA481" w14:textId="772EA262" w:rsidR="008B629C" w:rsidRPr="00B00C01" w:rsidRDefault="006133CD" w:rsidP="0082147F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lastRenderedPageBreak/>
        <w:t>Which of these existing resources are most effective, which are least effective?</w:t>
      </w:r>
    </w:p>
    <w:p w14:paraId="531882E9" w14:textId="3CAC2590" w:rsidR="006133CD" w:rsidRPr="00B00C01" w:rsidRDefault="006133CD" w:rsidP="0082147F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 xml:space="preserve">What does the existing literature support as the most effective methods of financial education? </w:t>
      </w:r>
    </w:p>
    <w:p w14:paraId="3329E66C" w14:textId="5B06054B" w:rsidR="006133CD" w:rsidRPr="00B00C01" w:rsidRDefault="006133CD" w:rsidP="0082147F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Do students feel uncertain about a given set of financial concepts in particular?</w:t>
      </w:r>
    </w:p>
    <w:p w14:paraId="1105F13B" w14:textId="5C781431" w:rsidR="006133CD" w:rsidRPr="00B00C01" w:rsidRDefault="0082147F" w:rsidP="0082147F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What is the existing budget for financial literacy resources?</w:t>
      </w:r>
    </w:p>
    <w:p w14:paraId="23D12832" w14:textId="7305BB43" w:rsidR="001C36A9" w:rsidRPr="00B00C01" w:rsidRDefault="0082147F" w:rsidP="002A3968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Which financial products are most commonly marketed to UBC students?</w:t>
      </w:r>
    </w:p>
    <w:p w14:paraId="53AC8CCD" w14:textId="3276D692" w:rsidR="001C36A9" w:rsidRPr="00B00C01" w:rsidRDefault="001C36A9" w:rsidP="006C7011">
      <w:pPr>
        <w:pStyle w:val="Heading2"/>
      </w:pPr>
      <w:r w:rsidRPr="00B00C01">
        <w:t>Methods</w:t>
      </w:r>
    </w:p>
    <w:p w14:paraId="6E5AD1CF" w14:textId="34545C8E" w:rsidR="001C36A9" w:rsidRPr="00B00C01" w:rsidRDefault="0082147F" w:rsidP="00D67844">
      <w:pPr>
        <w:rPr>
          <w:rFonts w:ascii="Helvetica" w:hAnsi="Helvetica"/>
          <w:color w:val="000000" w:themeColor="text1"/>
        </w:rPr>
      </w:pPr>
      <w:r w:rsidRPr="00B00C01">
        <w:rPr>
          <w:rFonts w:ascii="Helvetica" w:hAnsi="Helvetica"/>
          <w:color w:val="000000" w:themeColor="text1"/>
        </w:rPr>
        <w:t>For areas of inquiry related to existing UBC &amp; AMS financial literacy resources, data will be collected from</w:t>
      </w:r>
      <w:r w:rsidR="002E0AED" w:rsidRPr="00B00C01">
        <w:rPr>
          <w:rFonts w:ascii="Helvetica" w:hAnsi="Helvetica"/>
          <w:color w:val="000000" w:themeColor="text1"/>
        </w:rPr>
        <w:t xml:space="preserve"> public-facing sources (web, etc.) and </w:t>
      </w:r>
      <w:r w:rsidR="00D67844" w:rsidRPr="00B00C01">
        <w:rPr>
          <w:rFonts w:ascii="Helvetica" w:hAnsi="Helvetica"/>
          <w:color w:val="000000" w:themeColor="text1"/>
        </w:rPr>
        <w:t>contact with</w:t>
      </w:r>
      <w:r w:rsidR="002E0AED" w:rsidRPr="00B00C01">
        <w:rPr>
          <w:rFonts w:ascii="Helvetica" w:hAnsi="Helvetica"/>
          <w:color w:val="000000" w:themeColor="text1"/>
        </w:rPr>
        <w:t xml:space="preserve"> relevant representatives. Inquiry about related to student opinions will be collected via survey.</w:t>
      </w:r>
      <w:r w:rsidR="00D67844" w:rsidRPr="00B00C01">
        <w:rPr>
          <w:rFonts w:ascii="Helvetica" w:hAnsi="Helvetica"/>
          <w:color w:val="000000" w:themeColor="text1"/>
        </w:rPr>
        <w:t xml:space="preserve"> All other </w:t>
      </w:r>
      <w:r w:rsidR="00B00C01">
        <w:rPr>
          <w:rFonts w:ascii="Helvetica" w:hAnsi="Helvetica"/>
          <w:color w:val="000000" w:themeColor="text1"/>
        </w:rPr>
        <w:t>data</w:t>
      </w:r>
      <w:r w:rsidR="00D67844" w:rsidRPr="00B00C01">
        <w:rPr>
          <w:rFonts w:ascii="Helvetica" w:hAnsi="Helvetica"/>
          <w:color w:val="000000" w:themeColor="text1"/>
        </w:rPr>
        <w:t xml:space="preserve"> will be collected from secondary-source research. </w:t>
      </w:r>
      <w:r w:rsidR="002E0AED" w:rsidRPr="00B00C01">
        <w:rPr>
          <w:rFonts w:ascii="Helvetica" w:hAnsi="Helvetica"/>
          <w:color w:val="000000" w:themeColor="text1"/>
        </w:rPr>
        <w:t xml:space="preserve"> </w:t>
      </w:r>
    </w:p>
    <w:p w14:paraId="20B2EAED" w14:textId="3D9A91D1" w:rsidR="001C36A9" w:rsidRPr="008F7D63" w:rsidRDefault="001C36A9" w:rsidP="006C7011">
      <w:pPr>
        <w:pStyle w:val="Heading2"/>
      </w:pPr>
      <w:r w:rsidRPr="008F7D63">
        <w:t>My Qualifications</w:t>
      </w:r>
    </w:p>
    <w:p w14:paraId="6DD8D025" w14:textId="15E4AC27" w:rsidR="001C36A9" w:rsidRPr="00B00C01" w:rsidRDefault="00337EEA" w:rsidP="00B00C01">
      <w:pPr>
        <w:rPr>
          <w:color w:val="000000" w:themeColor="text1"/>
        </w:rPr>
      </w:pPr>
      <w:r>
        <w:rPr>
          <w:color w:val="000000" w:themeColor="text1"/>
        </w:rPr>
        <w:t xml:space="preserve">My interest in personal finance began at age 12 when I read Dave Chilton’s “The Wealthy Barber”. This experience eventually motivated my pursuance of a Bachelor of Commerce in Finance, which I completed in December 2020. I have </w:t>
      </w:r>
      <w:r w:rsidR="00870ADE">
        <w:rPr>
          <w:color w:val="000000" w:themeColor="text1"/>
        </w:rPr>
        <w:t xml:space="preserve">extensive </w:t>
      </w:r>
      <w:r>
        <w:rPr>
          <w:color w:val="000000" w:themeColor="text1"/>
        </w:rPr>
        <w:t>formal and personal experience with</w:t>
      </w:r>
      <w:r w:rsidR="00870ADE">
        <w:rPr>
          <w:color w:val="000000" w:themeColor="text1"/>
        </w:rPr>
        <w:t xml:space="preserve"> securities and derivatives. In addition to finance-related experience, I have had the pleasure of teaching fundamental financial concepts to non-technical friends, family, and classmates. </w:t>
      </w:r>
    </w:p>
    <w:p w14:paraId="31B9E16A" w14:textId="00ACFE95" w:rsidR="001C36A9" w:rsidRPr="006C7011" w:rsidRDefault="001C36A9" w:rsidP="006C7011">
      <w:pPr>
        <w:pStyle w:val="Heading2"/>
      </w:pPr>
      <w:r w:rsidRPr="006C7011">
        <w:t>Conclusion</w:t>
      </w:r>
    </w:p>
    <w:p w14:paraId="10AAD3C4" w14:textId="77777777" w:rsidR="00FB6DF7" w:rsidRDefault="003E4F63" w:rsidP="00870ADE">
      <w:pPr>
        <w:rPr>
          <w:rFonts w:ascii="Helvetica" w:hAnsi="Helvetica"/>
          <w:color w:val="000000" w:themeColor="text1"/>
        </w:rPr>
      </w:pPr>
      <w:r w:rsidRPr="006C7011">
        <w:rPr>
          <w:rFonts w:ascii="Helvetica" w:hAnsi="Helvetica"/>
          <w:color w:val="000000" w:themeColor="text1"/>
        </w:rPr>
        <w:t xml:space="preserve">Though more cynical observers may </w:t>
      </w:r>
      <w:r w:rsidR="006C7011" w:rsidRPr="006C7011">
        <w:rPr>
          <w:rFonts w:ascii="Helvetica" w:hAnsi="Helvetica"/>
          <w:color w:val="000000" w:themeColor="text1"/>
        </w:rPr>
        <w:t>feel that the University has little incentive to provide extensive financial literacy education, or that it is not the responsibility of the University to do so</w:t>
      </w:r>
      <w:r w:rsidR="00520620">
        <w:rPr>
          <w:rFonts w:ascii="Helvetica" w:hAnsi="Helvetica"/>
          <w:color w:val="000000" w:themeColor="text1"/>
        </w:rPr>
        <w:t>. I disagree with these conclusions</w:t>
      </w:r>
      <w:r w:rsidR="006C7011" w:rsidRPr="006C7011">
        <w:rPr>
          <w:rFonts w:ascii="Helvetica" w:hAnsi="Helvetica"/>
          <w:color w:val="000000" w:themeColor="text1"/>
        </w:rPr>
        <w:t xml:space="preserve">. </w:t>
      </w:r>
      <w:r w:rsidR="006C7011">
        <w:rPr>
          <w:rFonts w:ascii="Helvetica" w:hAnsi="Helvetica"/>
          <w:color w:val="000000" w:themeColor="text1"/>
        </w:rPr>
        <w:t xml:space="preserve">Students who are </w:t>
      </w:r>
      <w:r w:rsidR="003E2AD0">
        <w:rPr>
          <w:rFonts w:ascii="Helvetica" w:hAnsi="Helvetica"/>
          <w:color w:val="000000" w:themeColor="text1"/>
        </w:rPr>
        <w:t>poorly</w:t>
      </w:r>
      <w:r w:rsidR="006C7011">
        <w:rPr>
          <w:rFonts w:ascii="Helvetica" w:hAnsi="Helvetica"/>
          <w:color w:val="000000" w:themeColor="text1"/>
        </w:rPr>
        <w:t xml:space="preserve">-equipped to responsibly manage their finances </w:t>
      </w:r>
      <w:r w:rsidR="003E2AD0">
        <w:rPr>
          <w:rFonts w:ascii="Helvetica" w:hAnsi="Helvetica"/>
          <w:color w:val="000000" w:themeColor="text1"/>
        </w:rPr>
        <w:t xml:space="preserve">have an increased risk of failing to pay tuition, </w:t>
      </w:r>
      <w:r w:rsidR="00905730">
        <w:rPr>
          <w:rFonts w:ascii="Helvetica" w:hAnsi="Helvetica"/>
          <w:color w:val="000000" w:themeColor="text1"/>
        </w:rPr>
        <w:t>a greater chance of being financially distressed, and a reduced ability to evaluate career opportunities. For these reasons, improving financial literacy resources is not only the right choice, but the economical choice for the University.</w:t>
      </w:r>
      <w:r w:rsidR="00902ACB">
        <w:rPr>
          <w:rFonts w:ascii="Helvetica" w:hAnsi="Helvetica"/>
          <w:color w:val="000000" w:themeColor="text1"/>
        </w:rPr>
        <w:t xml:space="preserve"> </w:t>
      </w:r>
    </w:p>
    <w:p w14:paraId="07AF4644" w14:textId="4FBB55BB" w:rsidR="00870ADE" w:rsidRPr="006C7011" w:rsidRDefault="00902ACB" w:rsidP="00870ADE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By addressing the areas described earlier, I will use my personal and professional experience to provide a thoughtful, efficient, and well-defined plan for improving the quality of financial literacy resources. </w:t>
      </w:r>
      <w:r w:rsidR="00FB6DF7">
        <w:rPr>
          <w:rFonts w:ascii="Helvetica" w:hAnsi="Helvetica"/>
          <w:color w:val="000000" w:themeColor="text1"/>
        </w:rPr>
        <w:t xml:space="preserve">The results of my formal study will be presented to the relevant representatives at both UBC and the AMS. </w:t>
      </w:r>
      <w:r>
        <w:rPr>
          <w:rFonts w:ascii="Helvetica" w:hAnsi="Helvetica"/>
          <w:color w:val="000000" w:themeColor="text1"/>
        </w:rPr>
        <w:t xml:space="preserve">With your approval, I will begin research immediately.  </w:t>
      </w:r>
    </w:p>
    <w:sectPr w:rsidR="00870ADE" w:rsidRPr="006C7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2AC"/>
    <w:multiLevelType w:val="hybridMultilevel"/>
    <w:tmpl w:val="1842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19C6"/>
    <w:multiLevelType w:val="hybridMultilevel"/>
    <w:tmpl w:val="E768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5111">
    <w:abstractNumId w:val="0"/>
  </w:num>
  <w:num w:numId="2" w16cid:durableId="15010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A9"/>
    <w:rsid w:val="000970F3"/>
    <w:rsid w:val="000E46DE"/>
    <w:rsid w:val="00157264"/>
    <w:rsid w:val="00197744"/>
    <w:rsid w:val="001C36A9"/>
    <w:rsid w:val="00287EF8"/>
    <w:rsid w:val="002A3968"/>
    <w:rsid w:val="002E0AED"/>
    <w:rsid w:val="00337EEA"/>
    <w:rsid w:val="00384647"/>
    <w:rsid w:val="003B1018"/>
    <w:rsid w:val="003E0C26"/>
    <w:rsid w:val="003E2AD0"/>
    <w:rsid w:val="003E4F63"/>
    <w:rsid w:val="00461221"/>
    <w:rsid w:val="005010DA"/>
    <w:rsid w:val="00520620"/>
    <w:rsid w:val="00582178"/>
    <w:rsid w:val="005C17EC"/>
    <w:rsid w:val="006133CD"/>
    <w:rsid w:val="006C7011"/>
    <w:rsid w:val="00720FE0"/>
    <w:rsid w:val="007647ED"/>
    <w:rsid w:val="0077677C"/>
    <w:rsid w:val="007E38AD"/>
    <w:rsid w:val="0082147F"/>
    <w:rsid w:val="00870ADE"/>
    <w:rsid w:val="008B629C"/>
    <w:rsid w:val="008E3205"/>
    <w:rsid w:val="008F7D63"/>
    <w:rsid w:val="00902ACB"/>
    <w:rsid w:val="00905730"/>
    <w:rsid w:val="00927317"/>
    <w:rsid w:val="0094536A"/>
    <w:rsid w:val="00A22F9F"/>
    <w:rsid w:val="00A3289B"/>
    <w:rsid w:val="00A461EE"/>
    <w:rsid w:val="00AA5316"/>
    <w:rsid w:val="00B00C01"/>
    <w:rsid w:val="00BC396D"/>
    <w:rsid w:val="00C903F6"/>
    <w:rsid w:val="00CC71AE"/>
    <w:rsid w:val="00D61C96"/>
    <w:rsid w:val="00D65418"/>
    <w:rsid w:val="00D67844"/>
    <w:rsid w:val="00DC3864"/>
    <w:rsid w:val="00E05073"/>
    <w:rsid w:val="00EB13EA"/>
    <w:rsid w:val="00F7636B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9568D"/>
  <w15:chartTrackingRefBased/>
  <w15:docId w15:val="{8B1CE5C9-D75D-E248-8AFF-5A01DE4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color w:val="253746"/>
        <w:sz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6B"/>
    <w:pPr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2F9F"/>
    <w:pPr>
      <w:keepNext/>
      <w:keepLines/>
      <w:pBdr>
        <w:bottom w:val="single" w:sz="4" w:space="1" w:color="auto"/>
      </w:pBdr>
      <w:spacing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7011"/>
    <w:pPr>
      <w:keepNext/>
      <w:keepLines/>
      <w:spacing w:before="160" w:line="259" w:lineRule="auto"/>
      <w:outlineLvl w:val="1"/>
    </w:pPr>
    <w:rPr>
      <w:rFonts w:ascii="Helvetica" w:eastAsiaTheme="majorEastAsia" w:hAnsi="Helvetica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636B"/>
    <w:pPr>
      <w:keepNext/>
      <w:keepLines/>
      <w:spacing w:before="280" w:line="256" w:lineRule="auto"/>
      <w:outlineLvl w:val="2"/>
    </w:pPr>
    <w:rPr>
      <w:rFonts w:ascii="Helvetica Neue" w:eastAsiaTheme="majorEastAsia" w:hAnsi="Helvetica Neue" w:cstheme="majorBidi"/>
      <w:color w:val="1F3763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2731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HAnsi"/>
      <w:i/>
      <w:iCs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BC396D"/>
    <w:pPr>
      <w:jc w:val="center"/>
    </w:pPr>
    <w:tblPr>
      <w:tblStyleRowBandSize w:val="1"/>
      <w:tblCellMar>
        <w:left w:w="0" w:type="dxa"/>
        <w:right w:w="0" w:type="dxa"/>
      </w:tblCellMar>
    </w:tblPr>
    <w:tcPr>
      <w:tcMar>
        <w:top w:w="62" w:type="dxa"/>
        <w:left w:w="119" w:type="dxa"/>
        <w:bottom w:w="62" w:type="dxa"/>
        <w:right w:w="119" w:type="dxa"/>
      </w:tcMar>
      <w:vAlign w:val="center"/>
    </w:tcPr>
    <w:tblStylePr w:type="firstRow">
      <w:pPr>
        <w:jc w:val="center"/>
      </w:pPr>
      <w:rPr>
        <w:rFonts w:asciiTheme="majorHAnsi" w:hAnsiTheme="majorHAnsi"/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253746"/>
          <w:bottom w:val="single" w:sz="4" w:space="0" w:color="253746"/>
        </w:tcBorders>
      </w:tcPr>
    </w:tblStylePr>
  </w:style>
  <w:style w:type="paragraph" w:customStyle="1" w:styleId="TableHeader">
    <w:name w:val="Table Header"/>
    <w:basedOn w:val="Normal"/>
    <w:autoRedefine/>
    <w:qFormat/>
    <w:rsid w:val="00BC396D"/>
    <w:pPr>
      <w:spacing w:before="60" w:after="60"/>
      <w:jc w:val="center"/>
    </w:pPr>
    <w:rPr>
      <w:rFonts w:ascii="Helvetica Neue" w:hAnsi="Helvetica Neue"/>
      <w:bCs/>
      <w:color w:val="FFFFFF" w:themeColor="background1"/>
    </w:rPr>
  </w:style>
  <w:style w:type="table" w:customStyle="1" w:styleId="LTCleanTest">
    <w:name w:val="LT Clean Test"/>
    <w:basedOn w:val="TableNormal"/>
    <w:uiPriority w:val="99"/>
    <w:rsid w:val="00927317"/>
    <w:pPr>
      <w:spacing w:before="60" w:after="60"/>
      <w:jc w:val="center"/>
    </w:pPr>
    <w:tblPr>
      <w:tblStyleRowBandSize w:val="1"/>
      <w:tblCellMar>
        <w:left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  <w:vAlign w:val="center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center"/>
      </w:pPr>
      <w:rPr>
        <w:rFonts w:asciiTheme="majorHAnsi" w:hAnsiTheme="majorHAnsi"/>
        <w:b w:val="0"/>
        <w:bCs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253746"/>
          <w:bottom w:val="single" w:sz="4" w:space="0" w:color="253746"/>
        </w:tcBorders>
      </w:tcPr>
    </w:tblStylePr>
  </w:style>
  <w:style w:type="table" w:customStyle="1" w:styleId="LanthaList">
    <w:name w:val="Lantha List"/>
    <w:basedOn w:val="GridTable2-Accent2"/>
    <w:uiPriority w:val="99"/>
    <w:rsid w:val="00BC396D"/>
    <w:pPr>
      <w:jc w:val="center"/>
    </w:pPr>
    <w:rPr>
      <w:color w:val="auto"/>
      <w:sz w:val="20"/>
      <w:lang w:eastAsia="en-CA"/>
    </w:rPr>
    <w:tblPr>
      <w:tblBorders>
        <w:top w:val="single" w:sz="4" w:space="0" w:color="253746"/>
        <w:bottom w:val="single" w:sz="4" w:space="0" w:color="253746"/>
        <w:insideH w:val="single" w:sz="4" w:space="0" w:color="253746"/>
        <w:insideV w:val="single" w:sz="4" w:space="0" w:color="253746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  <w:rPr>
        <w:rFonts w:asciiTheme="majorHAnsi" w:hAnsiTheme="majorHAnsi"/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pPr>
        <w:jc w:val="center"/>
      </w:pPr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BC396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7636B"/>
    <w:rPr>
      <w:rFonts w:ascii="Helvetica Neue" w:eastAsiaTheme="majorEastAsia" w:hAnsi="Helvetica Neue" w:cstheme="majorBidi"/>
      <w:color w:val="1F3763" w:themeColor="accent1" w:themeShade="7F"/>
      <w:sz w:val="24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6C7011"/>
    <w:rPr>
      <w:rFonts w:ascii="Helvetica" w:eastAsiaTheme="majorEastAsia" w:hAnsi="Helvetica" w:cstheme="majorBidi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2F9F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27317"/>
    <w:rPr>
      <w:rFonts w:asciiTheme="majorHAnsi" w:eastAsiaTheme="majorEastAsia" w:hAnsiTheme="majorHAnsi" w:cstheme="majorHAnsi"/>
      <w:i/>
      <w:iCs/>
      <w:sz w:val="24"/>
      <w:szCs w:val="24"/>
      <w:lang w:eastAsia="ko-KR"/>
    </w:rPr>
  </w:style>
  <w:style w:type="table" w:customStyle="1" w:styleId="LanthaAltTest">
    <w:name w:val="Lantha Alt Test"/>
    <w:basedOn w:val="GridTable2-Accent2"/>
    <w:uiPriority w:val="99"/>
    <w:rsid w:val="00927317"/>
    <w:pPr>
      <w:spacing w:before="60" w:after="60"/>
      <w:jc w:val="center"/>
    </w:pPr>
    <w:rPr>
      <w:color w:val="auto"/>
      <w:sz w:val="20"/>
      <w:lang w:eastAsia="en-CA"/>
    </w:rPr>
    <w:tblPr>
      <w:tblBorders>
        <w:top w:val="single" w:sz="4" w:space="0" w:color="253746"/>
        <w:bottom w:val="single" w:sz="4" w:space="0" w:color="253746"/>
        <w:insideH w:val="single" w:sz="4" w:space="0" w:color="253746"/>
        <w:insideV w:val="single" w:sz="4" w:space="0" w:color="253746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90" w:beforeAutospacing="0" w:afterLines="0" w:after="90" w:afterAutospacing="0" w:line="240" w:lineRule="auto"/>
        <w:contextualSpacing w:val="0"/>
        <w:jc w:val="center"/>
      </w:pPr>
      <w:rPr>
        <w:rFonts w:asciiTheme="majorHAnsi" w:hAnsiTheme="majorHAnsi"/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pPr>
        <w:jc w:val="center"/>
      </w:pPr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F7D63"/>
    <w:rPr>
      <w:color w:val="808080"/>
    </w:rPr>
  </w:style>
  <w:style w:type="paragraph" w:styleId="ListParagraph">
    <w:name w:val="List Paragraph"/>
    <w:basedOn w:val="Normal"/>
    <w:uiPriority w:val="34"/>
    <w:qFormat/>
    <w:rsid w:val="0058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benmax@student.ubc.ca</dc:creator>
  <cp:keywords/>
  <dc:description/>
  <cp:lastModifiedBy>benmax@student.ubc.ca</cp:lastModifiedBy>
  <cp:revision>2</cp:revision>
  <dcterms:created xsi:type="dcterms:W3CDTF">2022-04-10T18:25:00Z</dcterms:created>
  <dcterms:modified xsi:type="dcterms:W3CDTF">2022-04-10T18:25:00Z</dcterms:modified>
</cp:coreProperties>
</file>