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B3" w:rsidRDefault="00CB04B3" w:rsidP="007E153F">
      <w:pPr>
        <w:pStyle w:val="Heading1"/>
      </w:pPr>
      <w:r>
        <w:t xml:space="preserve">Constructivist Lesson Assessment Rubric </w:t>
      </w:r>
    </w:p>
    <w:p w:rsidR="00CB04B3" w:rsidRPr="00FF680B" w:rsidRDefault="00CB04B3" w:rsidP="00FF680B">
      <w:pPr>
        <w:pStyle w:val="NormalWeb"/>
        <w:spacing w:line="360" w:lineRule="auto"/>
        <w:rPr>
          <w:color w:val="000000"/>
          <w:sz w:val="20"/>
          <w:szCs w:val="20"/>
        </w:rPr>
      </w:pPr>
      <w:r w:rsidRPr="00FF680B">
        <w:rPr>
          <w:color w:val="000000"/>
          <w:sz w:val="20"/>
          <w:szCs w:val="20"/>
        </w:rPr>
        <w:t xml:space="preserve">This rubric was created from a combination of concepts and principles found in the Driver-Oldham (Driver &amp; Oldham, 1986) Constructivist Instructional Model (CIM), the Predict-Observe-Explain (POE) model (White &amp; </w:t>
      </w:r>
      <w:proofErr w:type="spellStart"/>
      <w:r w:rsidRPr="00FF680B">
        <w:rPr>
          <w:color w:val="000000"/>
          <w:sz w:val="20"/>
          <w:szCs w:val="20"/>
        </w:rPr>
        <w:t>Gunstone</w:t>
      </w:r>
      <w:proofErr w:type="spellEnd"/>
      <w:r w:rsidRPr="00FF680B">
        <w:rPr>
          <w:color w:val="000000"/>
          <w:sz w:val="20"/>
          <w:szCs w:val="20"/>
        </w:rPr>
        <w:t xml:space="preserve">, 1982) and the Conceptual Change Model (CCM) (Posner et al., 1982) as well as </w:t>
      </w:r>
      <w:r w:rsidR="00545F91">
        <w:rPr>
          <w:color w:val="000000"/>
          <w:sz w:val="20"/>
          <w:szCs w:val="20"/>
        </w:rPr>
        <w:t xml:space="preserve">from </w:t>
      </w:r>
      <w:r w:rsidRPr="00FF680B">
        <w:rPr>
          <w:color w:val="000000"/>
          <w:sz w:val="20"/>
          <w:szCs w:val="20"/>
        </w:rPr>
        <w:t xml:space="preserve">general constructivism. It additionally incorporates some of the items from Unit 4’s set criteria (created by Maggie Beers and adapter by Karen </w:t>
      </w:r>
      <w:proofErr w:type="spellStart"/>
      <w:r w:rsidRPr="00FF680B">
        <w:rPr>
          <w:color w:val="000000"/>
          <w:sz w:val="20"/>
          <w:szCs w:val="20"/>
        </w:rPr>
        <w:t>Belfer</w:t>
      </w:r>
      <w:proofErr w:type="spellEnd"/>
      <w:r w:rsidRPr="00FF680B">
        <w:rPr>
          <w:color w:val="000000"/>
          <w:sz w:val="20"/>
          <w:szCs w:val="20"/>
        </w:rPr>
        <w:t xml:space="preserve">).    </w:t>
      </w:r>
    </w:p>
    <w:tbl>
      <w:tblPr>
        <w:tblStyle w:val="TableGrid"/>
        <w:tblW w:w="10368" w:type="dxa"/>
        <w:tblLayout w:type="fixed"/>
        <w:tblLook w:val="04A0"/>
      </w:tblPr>
      <w:tblGrid>
        <w:gridCol w:w="1998"/>
        <w:gridCol w:w="4680"/>
        <w:gridCol w:w="630"/>
        <w:gridCol w:w="630"/>
        <w:gridCol w:w="720"/>
        <w:gridCol w:w="720"/>
        <w:gridCol w:w="990"/>
      </w:tblGrid>
      <w:tr w:rsidR="006901E7" w:rsidRPr="006E67E2" w:rsidTr="00545F91">
        <w:trPr>
          <w:trHeight w:val="225"/>
        </w:trPr>
        <w:tc>
          <w:tcPr>
            <w:tcW w:w="10368" w:type="dxa"/>
            <w:gridSpan w:val="7"/>
          </w:tcPr>
          <w:p w:rsidR="006901E7" w:rsidRPr="006E67E2" w:rsidRDefault="006901E7" w:rsidP="006901E7">
            <w:pPr>
              <w:pStyle w:val="Heading2"/>
              <w:outlineLvl w:val="1"/>
            </w:pPr>
            <w:r w:rsidRPr="006E67E2">
              <w:t xml:space="preserve">Constructivist Lesson Assessment Rubric </w:t>
            </w:r>
          </w:p>
        </w:tc>
      </w:tr>
      <w:tr w:rsidR="006901E7" w:rsidRPr="00FF680B" w:rsidTr="00545F91">
        <w:trPr>
          <w:trHeight w:val="225"/>
        </w:trPr>
        <w:tc>
          <w:tcPr>
            <w:tcW w:w="6678" w:type="dxa"/>
            <w:gridSpan w:val="2"/>
            <w:vAlign w:val="center"/>
          </w:tcPr>
          <w:p w:rsidR="006901E7" w:rsidRPr="00FF680B" w:rsidRDefault="00FF680B" w:rsidP="0069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CRITERIA </w:t>
            </w:r>
          </w:p>
        </w:tc>
        <w:tc>
          <w:tcPr>
            <w:tcW w:w="630" w:type="dxa"/>
          </w:tcPr>
          <w:p w:rsidR="006901E7" w:rsidRPr="00FF680B" w:rsidRDefault="006901E7" w:rsidP="009212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Poor</w:t>
            </w:r>
          </w:p>
        </w:tc>
        <w:tc>
          <w:tcPr>
            <w:tcW w:w="630" w:type="dxa"/>
          </w:tcPr>
          <w:p w:rsidR="006901E7" w:rsidRPr="00FF680B" w:rsidRDefault="006901E7" w:rsidP="009212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720" w:type="dxa"/>
          </w:tcPr>
          <w:p w:rsidR="006901E7" w:rsidRPr="00FF680B" w:rsidRDefault="006901E7" w:rsidP="009212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720" w:type="dxa"/>
          </w:tcPr>
          <w:p w:rsidR="006901E7" w:rsidRPr="00FF680B" w:rsidRDefault="006901E7" w:rsidP="009212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Very Good</w:t>
            </w:r>
          </w:p>
        </w:tc>
        <w:tc>
          <w:tcPr>
            <w:tcW w:w="990" w:type="dxa"/>
          </w:tcPr>
          <w:p w:rsidR="006901E7" w:rsidRPr="00FF680B" w:rsidRDefault="006901E7" w:rsidP="009212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6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Outstan</w:t>
            </w:r>
            <w:proofErr w:type="spellEnd"/>
            <w:r w:rsidRPr="00FF6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-ding</w:t>
            </w:r>
          </w:p>
        </w:tc>
      </w:tr>
      <w:tr w:rsidR="006901E7" w:rsidRPr="00FF680B" w:rsidTr="00545F91">
        <w:trPr>
          <w:trHeight w:val="225"/>
        </w:trPr>
        <w:tc>
          <w:tcPr>
            <w:tcW w:w="1998" w:type="dxa"/>
            <w:vMerge w:val="restart"/>
            <w:vAlign w:val="center"/>
          </w:tcPr>
          <w:p w:rsidR="000B07A0" w:rsidRPr="00FF680B" w:rsidRDefault="006901E7" w:rsidP="006901E7">
            <w:pPr>
              <w:pStyle w:val="NormalWeb"/>
              <w:spacing w:line="226" w:lineRule="atLeast"/>
              <w:rPr>
                <w:b/>
                <w:color w:val="000000"/>
                <w:sz w:val="20"/>
                <w:szCs w:val="20"/>
              </w:rPr>
            </w:pPr>
            <w:r w:rsidRPr="00FF680B">
              <w:rPr>
                <w:b/>
                <w:color w:val="000000"/>
                <w:sz w:val="20"/>
                <w:szCs w:val="20"/>
              </w:rPr>
              <w:t>ORIENTATION</w:t>
            </w:r>
          </w:p>
        </w:tc>
        <w:tc>
          <w:tcPr>
            <w:tcW w:w="4680" w:type="dxa"/>
          </w:tcPr>
          <w:p w:rsidR="000B07A0" w:rsidRPr="00FF680B" w:rsidRDefault="00101C7A" w:rsidP="00FF680B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 w:line="276" w:lineRule="auto"/>
              <w:ind w:left="432"/>
              <w:rPr>
                <w:color w:val="000000"/>
                <w:sz w:val="20"/>
                <w:szCs w:val="20"/>
              </w:rPr>
            </w:pPr>
            <w:r w:rsidRPr="00FF680B">
              <w:rPr>
                <w:color w:val="000000"/>
                <w:sz w:val="20"/>
                <w:szCs w:val="20"/>
              </w:rPr>
              <w:t xml:space="preserve">Learners </w:t>
            </w:r>
            <w:r w:rsidR="000B07A0" w:rsidRPr="00FF680B">
              <w:rPr>
                <w:color w:val="000000"/>
                <w:sz w:val="20"/>
                <w:szCs w:val="20"/>
              </w:rPr>
              <w:t xml:space="preserve">are provided motivation to learn the topic. </w:t>
            </w:r>
          </w:p>
        </w:tc>
        <w:tc>
          <w:tcPr>
            <w:tcW w:w="630" w:type="dxa"/>
          </w:tcPr>
          <w:p w:rsidR="000B07A0" w:rsidRPr="00FF680B" w:rsidRDefault="000B07A0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0B07A0" w:rsidRPr="00FF680B" w:rsidRDefault="000B07A0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B07A0" w:rsidRPr="00FF680B" w:rsidRDefault="000B07A0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B07A0" w:rsidRPr="00FF680B" w:rsidRDefault="000B07A0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B07A0" w:rsidRPr="00FF680B" w:rsidRDefault="000B07A0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  <w:tr w:rsidR="006901E7" w:rsidRPr="00FF680B" w:rsidTr="00545F91">
        <w:trPr>
          <w:trHeight w:val="143"/>
        </w:trPr>
        <w:tc>
          <w:tcPr>
            <w:tcW w:w="1998" w:type="dxa"/>
            <w:vMerge/>
            <w:vAlign w:val="center"/>
          </w:tcPr>
          <w:p w:rsidR="000B07A0" w:rsidRPr="00FF680B" w:rsidRDefault="000B07A0" w:rsidP="006901E7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0B07A0" w:rsidRPr="00FF680B" w:rsidRDefault="00101C7A" w:rsidP="00545F91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 w:line="276" w:lineRule="auto"/>
              <w:ind w:left="432"/>
              <w:rPr>
                <w:color w:val="000000"/>
                <w:sz w:val="20"/>
                <w:szCs w:val="20"/>
              </w:rPr>
            </w:pPr>
            <w:r w:rsidRPr="00FF680B">
              <w:rPr>
                <w:color w:val="000000"/>
                <w:sz w:val="20"/>
                <w:szCs w:val="20"/>
              </w:rPr>
              <w:t>Learners</w:t>
            </w:r>
            <w:r w:rsidR="000B07A0" w:rsidRPr="00FF680B">
              <w:rPr>
                <w:color w:val="000000"/>
                <w:sz w:val="20"/>
                <w:szCs w:val="20"/>
              </w:rPr>
              <w:t xml:space="preserve"> are able to see why the topic is relevant to them.</w:t>
            </w:r>
          </w:p>
        </w:tc>
        <w:tc>
          <w:tcPr>
            <w:tcW w:w="630" w:type="dxa"/>
          </w:tcPr>
          <w:p w:rsidR="000B07A0" w:rsidRPr="00FF680B" w:rsidRDefault="000B07A0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0B07A0" w:rsidRPr="00FF680B" w:rsidRDefault="000B07A0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B07A0" w:rsidRPr="00FF680B" w:rsidRDefault="000B07A0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B07A0" w:rsidRPr="00FF680B" w:rsidRDefault="000B07A0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B07A0" w:rsidRPr="00FF680B" w:rsidRDefault="000B07A0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  <w:tr w:rsidR="006901E7" w:rsidRPr="00FF680B" w:rsidTr="00545F91">
        <w:trPr>
          <w:trHeight w:val="143"/>
        </w:trPr>
        <w:tc>
          <w:tcPr>
            <w:tcW w:w="10368" w:type="dxa"/>
            <w:gridSpan w:val="7"/>
            <w:vAlign w:val="center"/>
          </w:tcPr>
          <w:p w:rsidR="006901E7" w:rsidRPr="00FF680B" w:rsidRDefault="006901E7" w:rsidP="00FF680B">
            <w:pPr>
              <w:pStyle w:val="NormalWeb"/>
              <w:spacing w:before="60" w:beforeAutospacing="0" w:after="60" w:afterAutospacing="0" w:line="276" w:lineRule="auto"/>
              <w:ind w:left="432"/>
              <w:rPr>
                <w:color w:val="000000"/>
                <w:sz w:val="20"/>
                <w:szCs w:val="20"/>
              </w:rPr>
            </w:pPr>
          </w:p>
        </w:tc>
      </w:tr>
      <w:tr w:rsidR="006901E7" w:rsidRPr="00FF680B" w:rsidTr="00545F91">
        <w:trPr>
          <w:trHeight w:val="225"/>
        </w:trPr>
        <w:tc>
          <w:tcPr>
            <w:tcW w:w="1998" w:type="dxa"/>
            <w:vMerge w:val="restart"/>
            <w:vAlign w:val="center"/>
          </w:tcPr>
          <w:p w:rsidR="000B07A0" w:rsidRPr="00FF680B" w:rsidRDefault="006901E7" w:rsidP="006901E7">
            <w:pPr>
              <w:pStyle w:val="NormalWeb"/>
              <w:spacing w:line="226" w:lineRule="atLeast"/>
              <w:rPr>
                <w:b/>
                <w:color w:val="000000"/>
                <w:sz w:val="20"/>
                <w:szCs w:val="20"/>
              </w:rPr>
            </w:pPr>
            <w:r w:rsidRPr="00FF680B">
              <w:rPr>
                <w:b/>
                <w:color w:val="000000"/>
                <w:sz w:val="20"/>
                <w:szCs w:val="20"/>
              </w:rPr>
              <w:t xml:space="preserve">ELICITATION </w:t>
            </w:r>
          </w:p>
        </w:tc>
        <w:tc>
          <w:tcPr>
            <w:tcW w:w="4680" w:type="dxa"/>
          </w:tcPr>
          <w:p w:rsidR="000B07A0" w:rsidRPr="00FF680B" w:rsidRDefault="00101C7A" w:rsidP="00FF680B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 w:line="276" w:lineRule="auto"/>
              <w:ind w:left="432"/>
              <w:rPr>
                <w:color w:val="000000"/>
                <w:sz w:val="20"/>
                <w:szCs w:val="20"/>
              </w:rPr>
            </w:pPr>
            <w:r w:rsidRPr="00FF680B">
              <w:rPr>
                <w:color w:val="000000"/>
                <w:sz w:val="20"/>
                <w:szCs w:val="20"/>
              </w:rPr>
              <w:t>Learner’s</w:t>
            </w:r>
            <w:r w:rsidR="000B07A0" w:rsidRPr="00FF680B">
              <w:rPr>
                <w:color w:val="000000"/>
                <w:sz w:val="20"/>
                <w:szCs w:val="20"/>
              </w:rPr>
              <w:t xml:space="preserve"> prior knowledge </w:t>
            </w:r>
            <w:r w:rsidR="0054511D" w:rsidRPr="00FF680B">
              <w:rPr>
                <w:color w:val="000000"/>
                <w:sz w:val="20"/>
                <w:szCs w:val="20"/>
              </w:rPr>
              <w:t>is</w:t>
            </w:r>
            <w:r w:rsidR="000B07A0" w:rsidRPr="00FF680B">
              <w:rPr>
                <w:color w:val="000000"/>
                <w:sz w:val="20"/>
                <w:szCs w:val="20"/>
              </w:rPr>
              <w:t xml:space="preserve"> identified</w:t>
            </w:r>
            <w:r w:rsidR="0054511D" w:rsidRPr="00FF680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0B07A0" w:rsidRPr="00FF680B" w:rsidRDefault="000B07A0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0B07A0" w:rsidRPr="00FF680B" w:rsidRDefault="000B07A0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B07A0" w:rsidRPr="00FF680B" w:rsidRDefault="000B07A0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B07A0" w:rsidRPr="00FF680B" w:rsidRDefault="000B07A0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B07A0" w:rsidRPr="00FF680B" w:rsidRDefault="000B07A0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  <w:tr w:rsidR="006901E7" w:rsidRPr="00FF680B" w:rsidTr="00545F91">
        <w:trPr>
          <w:trHeight w:val="143"/>
        </w:trPr>
        <w:tc>
          <w:tcPr>
            <w:tcW w:w="1998" w:type="dxa"/>
            <w:vMerge/>
            <w:vAlign w:val="center"/>
          </w:tcPr>
          <w:p w:rsidR="000B07A0" w:rsidRPr="00FF680B" w:rsidRDefault="000B07A0" w:rsidP="006901E7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0B07A0" w:rsidRPr="00FF680B" w:rsidRDefault="00545F91" w:rsidP="00FF680B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 w:line="276" w:lineRule="auto"/>
              <w:ind w:left="432"/>
              <w:rPr>
                <w:color w:val="000000"/>
                <w:sz w:val="20"/>
                <w:szCs w:val="20"/>
              </w:rPr>
            </w:pPr>
            <w:r w:rsidRPr="00FF680B">
              <w:rPr>
                <w:color w:val="000000"/>
                <w:sz w:val="20"/>
                <w:szCs w:val="20"/>
              </w:rPr>
              <w:t xml:space="preserve">Learners </w:t>
            </w:r>
            <w:r w:rsidR="0054511D" w:rsidRPr="00FF680B">
              <w:rPr>
                <w:color w:val="000000"/>
                <w:sz w:val="20"/>
                <w:szCs w:val="20"/>
              </w:rPr>
              <w:t>have the opportunity to make</w:t>
            </w:r>
            <w:r w:rsidR="000B07A0" w:rsidRPr="00FF680B">
              <w:rPr>
                <w:color w:val="000000"/>
                <w:sz w:val="20"/>
                <w:szCs w:val="20"/>
              </w:rPr>
              <w:t xml:space="preserve"> their ideas explicit through discussion, creation or writing</w:t>
            </w:r>
            <w:r w:rsidR="0054511D" w:rsidRPr="00FF680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0B07A0" w:rsidRPr="00FF680B" w:rsidRDefault="000B07A0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0B07A0" w:rsidRPr="00FF680B" w:rsidRDefault="000B07A0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B07A0" w:rsidRPr="00FF680B" w:rsidRDefault="000B07A0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B07A0" w:rsidRPr="00FF680B" w:rsidRDefault="000B07A0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B07A0" w:rsidRPr="00FF680B" w:rsidRDefault="000B07A0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  <w:tr w:rsidR="006901E7" w:rsidRPr="00FF680B" w:rsidTr="00545F91">
        <w:trPr>
          <w:trHeight w:val="143"/>
        </w:trPr>
        <w:tc>
          <w:tcPr>
            <w:tcW w:w="10368" w:type="dxa"/>
            <w:gridSpan w:val="7"/>
            <w:vAlign w:val="center"/>
          </w:tcPr>
          <w:p w:rsidR="006901E7" w:rsidRPr="00FF680B" w:rsidRDefault="006901E7" w:rsidP="00FF680B">
            <w:pPr>
              <w:pStyle w:val="NormalWeb"/>
              <w:spacing w:before="60" w:beforeAutospacing="0" w:after="60" w:afterAutospacing="0" w:line="276" w:lineRule="auto"/>
              <w:ind w:left="432"/>
              <w:rPr>
                <w:color w:val="000000"/>
                <w:sz w:val="20"/>
                <w:szCs w:val="20"/>
              </w:rPr>
            </w:pPr>
          </w:p>
        </w:tc>
      </w:tr>
      <w:tr w:rsidR="00545F91" w:rsidRPr="00FF680B" w:rsidTr="00545F91">
        <w:trPr>
          <w:trHeight w:val="225"/>
        </w:trPr>
        <w:tc>
          <w:tcPr>
            <w:tcW w:w="1998" w:type="dxa"/>
            <w:vMerge w:val="restart"/>
            <w:vAlign w:val="center"/>
          </w:tcPr>
          <w:p w:rsidR="00545F91" w:rsidRPr="00FF680B" w:rsidRDefault="00545F91" w:rsidP="006901E7">
            <w:pPr>
              <w:pStyle w:val="NormalWeb"/>
              <w:spacing w:line="226" w:lineRule="atLeast"/>
              <w:rPr>
                <w:b/>
                <w:color w:val="000000"/>
                <w:sz w:val="20"/>
                <w:szCs w:val="20"/>
              </w:rPr>
            </w:pPr>
            <w:r w:rsidRPr="00FF680B">
              <w:rPr>
                <w:b/>
                <w:color w:val="000000"/>
                <w:sz w:val="20"/>
                <w:szCs w:val="20"/>
              </w:rPr>
              <w:t xml:space="preserve">RESTRUCTURING </w:t>
            </w:r>
          </w:p>
        </w:tc>
        <w:tc>
          <w:tcPr>
            <w:tcW w:w="4680" w:type="dxa"/>
          </w:tcPr>
          <w:p w:rsidR="00545F91" w:rsidRPr="00FF680B" w:rsidRDefault="00545F91" w:rsidP="009212D2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 w:line="276" w:lineRule="auto"/>
              <w:ind w:left="432"/>
              <w:rPr>
                <w:color w:val="000000"/>
                <w:sz w:val="20"/>
                <w:szCs w:val="20"/>
                <w:lang w:val="en-CA" w:eastAsia="en-CA"/>
              </w:rPr>
            </w:pPr>
            <w:r w:rsidRPr="00FF680B">
              <w:rPr>
                <w:color w:val="000000"/>
                <w:sz w:val="20"/>
                <w:szCs w:val="20"/>
              </w:rPr>
              <w:t>Learners have many opportunities to explore and test their ideas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F680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  <w:tr w:rsidR="00545F91" w:rsidRPr="00FF680B" w:rsidTr="00545F91">
        <w:trPr>
          <w:trHeight w:val="225"/>
        </w:trPr>
        <w:tc>
          <w:tcPr>
            <w:tcW w:w="1998" w:type="dxa"/>
            <w:vMerge/>
            <w:vAlign w:val="center"/>
          </w:tcPr>
          <w:p w:rsidR="00545F91" w:rsidRPr="00FF680B" w:rsidRDefault="00545F91" w:rsidP="006901E7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545F91" w:rsidRPr="00FF680B" w:rsidRDefault="00545F91" w:rsidP="009212D2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 w:line="276" w:lineRule="auto"/>
              <w:ind w:left="432"/>
              <w:rPr>
                <w:color w:val="000000"/>
                <w:sz w:val="20"/>
                <w:szCs w:val="20"/>
                <w:lang w:val="en-CA" w:eastAsia="en-CA"/>
              </w:rPr>
            </w:pPr>
            <w:r w:rsidRPr="00FF680B">
              <w:rPr>
                <w:color w:val="000000"/>
                <w:sz w:val="20"/>
                <w:szCs w:val="20"/>
                <w:lang w:val="en-CA" w:eastAsia="en-CA"/>
              </w:rPr>
              <w:t>Learners are provided stimuli to develop modify and change their ideas and views</w:t>
            </w:r>
            <w:r>
              <w:rPr>
                <w:color w:val="000000"/>
                <w:sz w:val="20"/>
                <w:szCs w:val="20"/>
                <w:lang w:val="en-CA" w:eastAsia="en-CA"/>
              </w:rPr>
              <w:t>.</w:t>
            </w:r>
            <w:r w:rsidRPr="00FF680B">
              <w:rPr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  <w:tr w:rsidR="00545F91" w:rsidRPr="00FF680B" w:rsidTr="00545F91">
        <w:trPr>
          <w:trHeight w:val="225"/>
        </w:trPr>
        <w:tc>
          <w:tcPr>
            <w:tcW w:w="1998" w:type="dxa"/>
            <w:vMerge/>
            <w:vAlign w:val="center"/>
          </w:tcPr>
          <w:p w:rsidR="00545F91" w:rsidRPr="00FF680B" w:rsidRDefault="00545F91" w:rsidP="006901E7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545F91" w:rsidRPr="00FF680B" w:rsidRDefault="00545F91" w:rsidP="00545F91">
            <w:pPr>
              <w:pStyle w:val="NormalWeb"/>
              <w:numPr>
                <w:ilvl w:val="0"/>
                <w:numId w:val="1"/>
              </w:numPr>
              <w:tabs>
                <w:tab w:val="left" w:pos="5567"/>
              </w:tabs>
              <w:spacing w:before="60" w:beforeAutospacing="0" w:after="60" w:afterAutospacing="0" w:line="276" w:lineRule="auto"/>
              <w:ind w:left="432"/>
              <w:rPr>
                <w:color w:val="000000"/>
                <w:sz w:val="20"/>
                <w:szCs w:val="20"/>
              </w:rPr>
            </w:pPr>
            <w:r w:rsidRPr="00FF680B">
              <w:rPr>
                <w:color w:val="000000"/>
                <w:sz w:val="20"/>
                <w:szCs w:val="20"/>
              </w:rPr>
              <w:t>Learners are given situation</w:t>
            </w:r>
            <w:r>
              <w:rPr>
                <w:color w:val="000000"/>
                <w:sz w:val="20"/>
                <w:szCs w:val="20"/>
              </w:rPr>
              <w:t>s</w:t>
            </w:r>
            <w:r w:rsidRPr="00FF680B">
              <w:rPr>
                <w:color w:val="000000"/>
                <w:sz w:val="20"/>
                <w:szCs w:val="20"/>
              </w:rPr>
              <w:t xml:space="preserve"> where they are require</w:t>
            </w:r>
            <w:r>
              <w:rPr>
                <w:color w:val="000000"/>
                <w:sz w:val="20"/>
                <w:szCs w:val="20"/>
              </w:rPr>
              <w:t xml:space="preserve">d to predict </w:t>
            </w:r>
            <w:r w:rsidRPr="00FF680B">
              <w:rPr>
                <w:color w:val="000000"/>
                <w:sz w:val="20"/>
                <w:szCs w:val="20"/>
              </w:rPr>
              <w:t>outcome</w:t>
            </w:r>
            <w:r>
              <w:rPr>
                <w:color w:val="000000"/>
                <w:sz w:val="20"/>
                <w:szCs w:val="20"/>
              </w:rPr>
              <w:t>s.</w:t>
            </w:r>
            <w:r w:rsidRPr="00FF680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  <w:tr w:rsidR="00545F91" w:rsidRPr="00FF680B" w:rsidTr="00545F91">
        <w:trPr>
          <w:trHeight w:val="225"/>
        </w:trPr>
        <w:tc>
          <w:tcPr>
            <w:tcW w:w="1998" w:type="dxa"/>
            <w:vMerge/>
            <w:vAlign w:val="center"/>
          </w:tcPr>
          <w:p w:rsidR="00545F91" w:rsidRPr="00FF680B" w:rsidRDefault="00545F91" w:rsidP="006901E7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545F91" w:rsidRPr="00FF680B" w:rsidRDefault="00545F91" w:rsidP="009212D2">
            <w:pPr>
              <w:pStyle w:val="NormalWeb"/>
              <w:numPr>
                <w:ilvl w:val="0"/>
                <w:numId w:val="1"/>
              </w:numPr>
              <w:tabs>
                <w:tab w:val="left" w:pos="5567"/>
              </w:tabs>
              <w:spacing w:before="60" w:beforeAutospacing="0" w:after="60" w:afterAutospacing="0" w:line="276" w:lineRule="auto"/>
              <w:ind w:left="432"/>
              <w:rPr>
                <w:color w:val="000000"/>
                <w:sz w:val="20"/>
                <w:szCs w:val="20"/>
              </w:rPr>
            </w:pPr>
            <w:r w:rsidRPr="00FF680B">
              <w:rPr>
                <w:color w:val="000000"/>
                <w:sz w:val="20"/>
                <w:szCs w:val="20"/>
              </w:rPr>
              <w:t>Learners are able to test their prediction</w:t>
            </w:r>
            <w:r>
              <w:rPr>
                <w:color w:val="000000"/>
                <w:sz w:val="20"/>
                <w:szCs w:val="20"/>
              </w:rPr>
              <w:t>s</w:t>
            </w:r>
            <w:r w:rsidRPr="00FF680B">
              <w:rPr>
                <w:color w:val="000000"/>
                <w:sz w:val="20"/>
                <w:szCs w:val="20"/>
              </w:rPr>
              <w:t xml:space="preserve"> and explanations through accurate observation</w:t>
            </w:r>
            <w:r>
              <w:rPr>
                <w:color w:val="000000"/>
                <w:sz w:val="20"/>
                <w:szCs w:val="20"/>
              </w:rPr>
              <w:t>s.</w:t>
            </w: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  <w:tr w:rsidR="00545F91" w:rsidRPr="00FF680B" w:rsidTr="00545F91">
        <w:trPr>
          <w:trHeight w:val="225"/>
        </w:trPr>
        <w:tc>
          <w:tcPr>
            <w:tcW w:w="1998" w:type="dxa"/>
            <w:vMerge/>
            <w:vAlign w:val="center"/>
          </w:tcPr>
          <w:p w:rsidR="00545F91" w:rsidRPr="00FF680B" w:rsidRDefault="00545F91" w:rsidP="006901E7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545F91" w:rsidRPr="00FF680B" w:rsidRDefault="00545F91" w:rsidP="009212D2">
            <w:pPr>
              <w:pStyle w:val="NormalWeb"/>
              <w:numPr>
                <w:ilvl w:val="0"/>
                <w:numId w:val="1"/>
              </w:numPr>
              <w:tabs>
                <w:tab w:val="left" w:pos="5567"/>
              </w:tabs>
              <w:spacing w:before="60" w:beforeAutospacing="0" w:after="60" w:afterAutospacing="0" w:line="276" w:lineRule="auto"/>
              <w:ind w:left="432"/>
              <w:rPr>
                <w:color w:val="000000"/>
                <w:sz w:val="20"/>
                <w:szCs w:val="20"/>
              </w:rPr>
            </w:pPr>
            <w:r w:rsidRPr="00FF680B">
              <w:rPr>
                <w:color w:val="000000"/>
                <w:sz w:val="20"/>
                <w:szCs w:val="20"/>
              </w:rPr>
              <w:t>Learners are guided to find explanations for inconsistent prediction</w:t>
            </w:r>
            <w:r>
              <w:rPr>
                <w:color w:val="000000"/>
                <w:sz w:val="20"/>
                <w:szCs w:val="20"/>
              </w:rPr>
              <w:t>s.</w:t>
            </w: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  <w:tr w:rsidR="009B057A" w:rsidRPr="00FF680B" w:rsidTr="009B057A">
        <w:trPr>
          <w:trHeight w:val="566"/>
        </w:trPr>
        <w:tc>
          <w:tcPr>
            <w:tcW w:w="1998" w:type="dxa"/>
            <w:vMerge/>
            <w:vAlign w:val="center"/>
          </w:tcPr>
          <w:p w:rsidR="009B057A" w:rsidRPr="00FF680B" w:rsidRDefault="009B057A" w:rsidP="006901E7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9B057A" w:rsidRPr="00FF680B" w:rsidRDefault="009B057A" w:rsidP="009B057A">
            <w:pPr>
              <w:pStyle w:val="NormalWeb"/>
              <w:numPr>
                <w:ilvl w:val="0"/>
                <w:numId w:val="1"/>
              </w:numPr>
              <w:tabs>
                <w:tab w:val="left" w:pos="5567"/>
              </w:tabs>
              <w:spacing w:before="60" w:beforeAutospacing="0" w:after="60" w:afterAutospacing="0"/>
              <w:ind w:left="432"/>
              <w:rPr>
                <w:color w:val="000000"/>
                <w:sz w:val="20"/>
                <w:szCs w:val="20"/>
              </w:rPr>
            </w:pPr>
            <w:r w:rsidRPr="00FF680B">
              <w:rPr>
                <w:color w:val="000000"/>
                <w:sz w:val="20"/>
                <w:szCs w:val="20"/>
              </w:rPr>
              <w:t>New concepts are meaningful and plausible for learners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F680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9B057A" w:rsidRPr="00FF680B" w:rsidRDefault="009B057A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B057A" w:rsidRPr="00FF680B" w:rsidRDefault="009B057A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9B057A" w:rsidRPr="00FF680B" w:rsidRDefault="009B057A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9B057A" w:rsidRPr="00FF680B" w:rsidRDefault="009B057A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B057A" w:rsidRPr="00FF680B" w:rsidRDefault="009B057A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  <w:tr w:rsidR="00545F91" w:rsidRPr="00FF680B" w:rsidTr="00545F91">
        <w:trPr>
          <w:trHeight w:val="225"/>
        </w:trPr>
        <w:tc>
          <w:tcPr>
            <w:tcW w:w="1998" w:type="dxa"/>
            <w:vMerge/>
            <w:vAlign w:val="center"/>
          </w:tcPr>
          <w:p w:rsidR="00545F91" w:rsidRPr="00FF680B" w:rsidRDefault="00545F91" w:rsidP="006901E7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545F91" w:rsidRPr="00FF680B" w:rsidRDefault="00545F91" w:rsidP="009212D2">
            <w:pPr>
              <w:pStyle w:val="NormalWeb"/>
              <w:numPr>
                <w:ilvl w:val="0"/>
                <w:numId w:val="1"/>
              </w:numPr>
              <w:tabs>
                <w:tab w:val="left" w:pos="5567"/>
              </w:tabs>
              <w:spacing w:before="60" w:beforeAutospacing="0" w:after="60" w:afterAutospacing="0" w:line="276" w:lineRule="auto"/>
              <w:ind w:left="432"/>
              <w:rPr>
                <w:color w:val="000000"/>
                <w:sz w:val="20"/>
                <w:szCs w:val="20"/>
              </w:rPr>
            </w:pPr>
            <w:r w:rsidRPr="00FF680B">
              <w:rPr>
                <w:color w:val="000000"/>
                <w:sz w:val="20"/>
                <w:szCs w:val="20"/>
                <w:lang w:val="en-CA" w:eastAsia="en-CA"/>
              </w:rPr>
              <w:t>Learns are able to assimilate and accommodate new knowledge</w:t>
            </w:r>
            <w:r>
              <w:rPr>
                <w:color w:val="000000"/>
                <w:sz w:val="20"/>
                <w:szCs w:val="20"/>
                <w:lang w:val="en-CA" w:eastAsia="en-CA"/>
              </w:rPr>
              <w:t>.</w:t>
            </w:r>
            <w:r w:rsidRPr="00FF680B">
              <w:rPr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  <w:tr w:rsidR="00545F91" w:rsidRPr="00FF680B" w:rsidTr="00545F91">
        <w:trPr>
          <w:trHeight w:val="225"/>
        </w:trPr>
        <w:tc>
          <w:tcPr>
            <w:tcW w:w="1998" w:type="dxa"/>
            <w:vMerge/>
            <w:vAlign w:val="center"/>
          </w:tcPr>
          <w:p w:rsidR="00545F91" w:rsidRPr="00FF680B" w:rsidRDefault="00545F91" w:rsidP="006901E7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545F91" w:rsidRPr="00FF680B" w:rsidRDefault="00545F91" w:rsidP="00FF680B">
            <w:pPr>
              <w:pStyle w:val="NormalWeb"/>
              <w:numPr>
                <w:ilvl w:val="0"/>
                <w:numId w:val="1"/>
              </w:numPr>
              <w:tabs>
                <w:tab w:val="left" w:pos="5567"/>
              </w:tabs>
              <w:spacing w:before="60" w:beforeAutospacing="0" w:after="60" w:afterAutospacing="0" w:line="276" w:lineRule="auto"/>
              <w:ind w:left="432"/>
              <w:rPr>
                <w:color w:val="000000"/>
                <w:sz w:val="20"/>
                <w:szCs w:val="20"/>
              </w:rPr>
            </w:pPr>
            <w:r w:rsidRPr="00FF680B">
              <w:rPr>
                <w:color w:val="000000"/>
                <w:sz w:val="20"/>
                <w:szCs w:val="20"/>
              </w:rPr>
              <w:t>Multiple perspectives of learning material</w:t>
            </w:r>
            <w:r>
              <w:rPr>
                <w:color w:val="000000"/>
                <w:sz w:val="20"/>
                <w:szCs w:val="20"/>
              </w:rPr>
              <w:t>s</w:t>
            </w:r>
            <w:r w:rsidRPr="00FF680B">
              <w:rPr>
                <w:color w:val="000000"/>
                <w:sz w:val="20"/>
                <w:szCs w:val="20"/>
              </w:rPr>
              <w:t xml:space="preserve"> are pro</w:t>
            </w:r>
            <w:r>
              <w:rPr>
                <w:color w:val="000000"/>
                <w:sz w:val="20"/>
                <w:szCs w:val="20"/>
              </w:rPr>
              <w:t>vided as well as multiple media</w:t>
            </w:r>
            <w:r w:rsidRPr="00FF680B">
              <w:rPr>
                <w:color w:val="000000"/>
                <w:sz w:val="20"/>
                <w:szCs w:val="20"/>
              </w:rPr>
              <w:t xml:space="preserve"> used to present it.</w:t>
            </w: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  <w:tr w:rsidR="00545F91" w:rsidRPr="00FF680B" w:rsidTr="00545F91">
        <w:trPr>
          <w:trHeight w:val="225"/>
        </w:trPr>
        <w:tc>
          <w:tcPr>
            <w:tcW w:w="1998" w:type="dxa"/>
            <w:vMerge/>
            <w:vAlign w:val="center"/>
          </w:tcPr>
          <w:p w:rsidR="00545F91" w:rsidRPr="00FF680B" w:rsidRDefault="00545F91" w:rsidP="006901E7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545F91" w:rsidRPr="00FF680B" w:rsidRDefault="00545F91" w:rsidP="00FF680B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 w:line="276" w:lineRule="auto"/>
              <w:ind w:left="432"/>
              <w:rPr>
                <w:bCs/>
                <w:color w:val="000000"/>
                <w:sz w:val="20"/>
                <w:szCs w:val="20"/>
                <w:lang w:val="en-CA" w:eastAsia="en-CA"/>
              </w:rPr>
            </w:pPr>
            <w:r w:rsidRPr="00FF680B">
              <w:rPr>
                <w:bCs/>
                <w:color w:val="000000"/>
                <w:sz w:val="20"/>
                <w:szCs w:val="20"/>
                <w:lang w:val="en-CA" w:eastAsia="en-CA"/>
              </w:rPr>
              <w:t>Learners have access to resources for problem solving and creating new knowledge</w:t>
            </w:r>
            <w:r>
              <w:rPr>
                <w:bCs/>
                <w:color w:val="000000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  <w:tr w:rsidR="00545F91" w:rsidRPr="00FF680B" w:rsidTr="00545F91">
        <w:trPr>
          <w:trHeight w:val="225"/>
        </w:trPr>
        <w:tc>
          <w:tcPr>
            <w:tcW w:w="1998" w:type="dxa"/>
            <w:vMerge/>
            <w:vAlign w:val="center"/>
          </w:tcPr>
          <w:p w:rsidR="00545F91" w:rsidRPr="00FF680B" w:rsidRDefault="00545F91" w:rsidP="006901E7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545F91" w:rsidRPr="00545F91" w:rsidRDefault="00545F91" w:rsidP="00545F91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 w:line="276" w:lineRule="auto"/>
              <w:ind w:left="432"/>
              <w:rPr>
                <w:bCs/>
                <w:color w:val="000000"/>
                <w:sz w:val="20"/>
                <w:szCs w:val="20"/>
                <w:lang w:val="en-CA" w:eastAsia="en-CA"/>
              </w:rPr>
            </w:pPr>
            <w:r w:rsidRPr="00FF680B">
              <w:rPr>
                <w:bCs/>
                <w:color w:val="000000"/>
                <w:sz w:val="20"/>
                <w:szCs w:val="20"/>
                <w:lang w:val="en-CA" w:eastAsia="en-CA"/>
              </w:rPr>
              <w:t>Learners are able to construct their own perspective or understanding of the topic/information</w:t>
            </w: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  <w:tr w:rsidR="00545F91" w:rsidRPr="00FF680B" w:rsidTr="00545F91">
        <w:trPr>
          <w:trHeight w:val="225"/>
        </w:trPr>
        <w:tc>
          <w:tcPr>
            <w:tcW w:w="10368" w:type="dxa"/>
            <w:gridSpan w:val="7"/>
            <w:vAlign w:val="center"/>
          </w:tcPr>
          <w:p w:rsidR="00545F91" w:rsidRPr="00FF680B" w:rsidRDefault="00545F91" w:rsidP="00FF680B">
            <w:pPr>
              <w:pStyle w:val="NormalWeb"/>
              <w:spacing w:before="60" w:beforeAutospacing="0" w:after="60" w:afterAutospacing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45F91" w:rsidRPr="00FF680B" w:rsidTr="00545F91">
        <w:trPr>
          <w:trHeight w:val="225"/>
        </w:trPr>
        <w:tc>
          <w:tcPr>
            <w:tcW w:w="1998" w:type="dxa"/>
            <w:vMerge w:val="restart"/>
            <w:vAlign w:val="center"/>
          </w:tcPr>
          <w:p w:rsidR="00545F91" w:rsidRPr="00FF680B" w:rsidRDefault="00545F91" w:rsidP="006901E7">
            <w:pPr>
              <w:pStyle w:val="NormalWeb"/>
              <w:spacing w:line="226" w:lineRule="atLeast"/>
              <w:rPr>
                <w:b/>
                <w:color w:val="000000"/>
                <w:sz w:val="20"/>
                <w:szCs w:val="20"/>
              </w:rPr>
            </w:pPr>
            <w:r w:rsidRPr="00FF680B">
              <w:rPr>
                <w:b/>
                <w:color w:val="000000"/>
                <w:sz w:val="20"/>
                <w:szCs w:val="20"/>
              </w:rPr>
              <w:t xml:space="preserve">APPLICATION </w:t>
            </w:r>
          </w:p>
        </w:tc>
        <w:tc>
          <w:tcPr>
            <w:tcW w:w="4680" w:type="dxa"/>
          </w:tcPr>
          <w:p w:rsidR="00545F91" w:rsidRPr="00FF680B" w:rsidRDefault="00545F91" w:rsidP="00FF680B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 w:line="276" w:lineRule="auto"/>
              <w:ind w:left="432"/>
              <w:rPr>
                <w:color w:val="000000"/>
                <w:sz w:val="20"/>
                <w:szCs w:val="20"/>
              </w:rPr>
            </w:pPr>
            <w:r w:rsidRPr="00FF680B">
              <w:rPr>
                <w:color w:val="000000"/>
                <w:sz w:val="20"/>
                <w:szCs w:val="20"/>
              </w:rPr>
              <w:t>Learners have the opportunity to use their new ideas in familiar and novel settings.</w:t>
            </w: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  <w:tr w:rsidR="00545F91" w:rsidRPr="00FF680B" w:rsidTr="00545F91">
        <w:trPr>
          <w:trHeight w:val="214"/>
        </w:trPr>
        <w:tc>
          <w:tcPr>
            <w:tcW w:w="1998" w:type="dxa"/>
            <w:vMerge/>
            <w:vAlign w:val="center"/>
          </w:tcPr>
          <w:p w:rsidR="00545F91" w:rsidRPr="00FF680B" w:rsidRDefault="00545F91" w:rsidP="006901E7">
            <w:pPr>
              <w:pStyle w:val="NormalWeb"/>
              <w:spacing w:line="226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545F91" w:rsidRPr="00FF680B" w:rsidRDefault="00545F91" w:rsidP="00FF680B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 w:line="276" w:lineRule="auto"/>
              <w:ind w:left="432"/>
              <w:rPr>
                <w:color w:val="000000"/>
                <w:sz w:val="20"/>
                <w:szCs w:val="20"/>
              </w:rPr>
            </w:pPr>
            <w:r w:rsidRPr="00FF680B">
              <w:rPr>
                <w:color w:val="000000"/>
                <w:sz w:val="20"/>
                <w:szCs w:val="20"/>
              </w:rPr>
              <w:t xml:space="preserve">Learners are </w:t>
            </w:r>
            <w:r w:rsidRPr="00FF680B">
              <w:rPr>
                <w:bCs/>
                <w:color w:val="000000"/>
                <w:sz w:val="20"/>
                <w:szCs w:val="20"/>
                <w:lang w:val="en-CA" w:eastAsia="en-CA"/>
              </w:rPr>
              <w:t>presented a problem, project or question that has various interpretations.</w:t>
            </w: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  <w:tr w:rsidR="009B057A" w:rsidRPr="00FF680B" w:rsidTr="00545F91">
        <w:trPr>
          <w:trHeight w:val="214"/>
        </w:trPr>
        <w:tc>
          <w:tcPr>
            <w:tcW w:w="1998" w:type="dxa"/>
            <w:vMerge/>
            <w:vAlign w:val="center"/>
          </w:tcPr>
          <w:p w:rsidR="009B057A" w:rsidRPr="00FF680B" w:rsidRDefault="009B057A" w:rsidP="006901E7">
            <w:pPr>
              <w:pStyle w:val="NormalWeb"/>
              <w:spacing w:line="226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9B057A" w:rsidRPr="00FF680B" w:rsidRDefault="009B057A" w:rsidP="00FF680B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 w:line="276" w:lineRule="auto"/>
              <w:ind w:left="432"/>
              <w:rPr>
                <w:color w:val="000000"/>
                <w:sz w:val="20"/>
                <w:szCs w:val="20"/>
              </w:rPr>
            </w:pPr>
            <w:r w:rsidRPr="00FF680B">
              <w:rPr>
                <w:color w:val="000000"/>
                <w:sz w:val="20"/>
                <w:szCs w:val="20"/>
              </w:rPr>
              <w:t>Learner’s new knowledge is applied and reinforced with authentic practice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9B057A" w:rsidRPr="00FF680B" w:rsidRDefault="009B057A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B057A" w:rsidRPr="00FF680B" w:rsidRDefault="009B057A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9B057A" w:rsidRPr="00FF680B" w:rsidRDefault="009B057A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9B057A" w:rsidRPr="00FF680B" w:rsidRDefault="009B057A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B057A" w:rsidRPr="00FF680B" w:rsidRDefault="009B057A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  <w:tr w:rsidR="00545F91" w:rsidRPr="00FF680B" w:rsidTr="00545F91">
        <w:trPr>
          <w:trHeight w:val="225"/>
        </w:trPr>
        <w:tc>
          <w:tcPr>
            <w:tcW w:w="1998" w:type="dxa"/>
            <w:vMerge/>
            <w:vAlign w:val="center"/>
          </w:tcPr>
          <w:p w:rsidR="00545F91" w:rsidRPr="00FF680B" w:rsidRDefault="00545F91" w:rsidP="006901E7">
            <w:pPr>
              <w:pStyle w:val="NormalWeb"/>
              <w:spacing w:line="226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545F91" w:rsidRPr="00FF680B" w:rsidRDefault="00545F91" w:rsidP="00FF680B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 w:line="276" w:lineRule="auto"/>
              <w:ind w:left="432"/>
              <w:rPr>
                <w:color w:val="000000"/>
                <w:sz w:val="20"/>
                <w:szCs w:val="20"/>
              </w:rPr>
            </w:pPr>
            <w:r w:rsidRPr="00FF680B">
              <w:rPr>
                <w:color w:val="000000"/>
                <w:sz w:val="20"/>
                <w:szCs w:val="20"/>
              </w:rPr>
              <w:t>Learners</w:t>
            </w:r>
            <w:r w:rsidRPr="00FF680B">
              <w:rPr>
                <w:bCs/>
                <w:color w:val="000000"/>
                <w:sz w:val="20"/>
                <w:szCs w:val="20"/>
                <w:lang w:val="en-CA" w:eastAsia="en-CA"/>
              </w:rPr>
              <w:t xml:space="preserve"> are able to manipulate or construct something. </w:t>
            </w: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  <w:tr w:rsidR="00545F91" w:rsidRPr="00FF680B" w:rsidTr="00545F91">
        <w:trPr>
          <w:trHeight w:val="225"/>
        </w:trPr>
        <w:tc>
          <w:tcPr>
            <w:tcW w:w="1998" w:type="dxa"/>
            <w:vMerge/>
            <w:vAlign w:val="center"/>
          </w:tcPr>
          <w:p w:rsidR="00545F91" w:rsidRPr="00FF680B" w:rsidRDefault="00545F91" w:rsidP="006901E7">
            <w:pPr>
              <w:pStyle w:val="NormalWeb"/>
              <w:spacing w:line="226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545F91" w:rsidRPr="00FF680B" w:rsidRDefault="00545F91" w:rsidP="00FF680B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 w:line="276" w:lineRule="auto"/>
              <w:ind w:left="432"/>
              <w:rPr>
                <w:sz w:val="20"/>
                <w:szCs w:val="20"/>
              </w:rPr>
            </w:pPr>
            <w:r w:rsidRPr="00FF680B">
              <w:rPr>
                <w:color w:val="000000"/>
                <w:sz w:val="20"/>
                <w:szCs w:val="20"/>
              </w:rPr>
              <w:t xml:space="preserve">Learners </w:t>
            </w:r>
            <w:r w:rsidRPr="00FF680B">
              <w:rPr>
                <w:bCs/>
                <w:sz w:val="20"/>
                <w:szCs w:val="20"/>
                <w:lang w:val="en-CA" w:eastAsia="en-CA"/>
              </w:rPr>
              <w:t xml:space="preserve">are able to use hypermedia as a medium to construct new knowledge. </w:t>
            </w: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  <w:tr w:rsidR="00545F91" w:rsidRPr="00FF680B" w:rsidTr="00545F91">
        <w:trPr>
          <w:trHeight w:val="225"/>
        </w:trPr>
        <w:tc>
          <w:tcPr>
            <w:tcW w:w="10368" w:type="dxa"/>
            <w:gridSpan w:val="7"/>
            <w:vAlign w:val="center"/>
          </w:tcPr>
          <w:p w:rsidR="00545F91" w:rsidRPr="00FF680B" w:rsidRDefault="00545F91" w:rsidP="00FF680B">
            <w:pPr>
              <w:pStyle w:val="NormalWeb"/>
              <w:spacing w:before="60" w:beforeAutospacing="0" w:after="60" w:afterAutospacing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45F91" w:rsidRPr="00FF680B" w:rsidTr="00545F91">
        <w:trPr>
          <w:trHeight w:val="449"/>
        </w:trPr>
        <w:tc>
          <w:tcPr>
            <w:tcW w:w="1998" w:type="dxa"/>
            <w:vMerge w:val="restart"/>
            <w:vAlign w:val="center"/>
          </w:tcPr>
          <w:p w:rsidR="00545F91" w:rsidRPr="00FF680B" w:rsidRDefault="00545F91" w:rsidP="006901E7">
            <w:pPr>
              <w:pStyle w:val="NormalWeb"/>
              <w:spacing w:line="226" w:lineRule="atLeast"/>
              <w:rPr>
                <w:b/>
                <w:color w:val="000000"/>
                <w:sz w:val="20"/>
                <w:szCs w:val="20"/>
              </w:rPr>
            </w:pPr>
            <w:r w:rsidRPr="00FF680B">
              <w:rPr>
                <w:b/>
                <w:color w:val="000000"/>
                <w:sz w:val="20"/>
                <w:szCs w:val="20"/>
              </w:rPr>
              <w:t xml:space="preserve">REVIEW </w:t>
            </w:r>
          </w:p>
        </w:tc>
        <w:tc>
          <w:tcPr>
            <w:tcW w:w="4680" w:type="dxa"/>
          </w:tcPr>
          <w:p w:rsidR="00545F91" w:rsidRPr="00FF680B" w:rsidRDefault="00545F91" w:rsidP="00FF680B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 w:line="276" w:lineRule="auto"/>
              <w:ind w:left="432"/>
              <w:rPr>
                <w:color w:val="000000"/>
                <w:sz w:val="20"/>
                <w:szCs w:val="20"/>
              </w:rPr>
            </w:pPr>
            <w:r w:rsidRPr="00FF680B">
              <w:rPr>
                <w:color w:val="000000"/>
                <w:sz w:val="20"/>
                <w:szCs w:val="20"/>
              </w:rPr>
              <w:t xml:space="preserve">Learners have the opportunity to reflect on how their ideas have changed during the learning module. </w:t>
            </w: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  <w:tr w:rsidR="00545F91" w:rsidRPr="00FF680B" w:rsidTr="00545F91">
        <w:trPr>
          <w:trHeight w:val="225"/>
        </w:trPr>
        <w:tc>
          <w:tcPr>
            <w:tcW w:w="1998" w:type="dxa"/>
            <w:vMerge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545F91" w:rsidRPr="00FF680B" w:rsidRDefault="00545F91" w:rsidP="00FF680B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 w:line="276" w:lineRule="auto"/>
              <w:ind w:left="432"/>
              <w:rPr>
                <w:color w:val="000000"/>
                <w:sz w:val="20"/>
                <w:szCs w:val="20"/>
              </w:rPr>
            </w:pPr>
            <w:r w:rsidRPr="00FF680B">
              <w:rPr>
                <w:color w:val="000000"/>
                <w:sz w:val="20"/>
                <w:szCs w:val="20"/>
              </w:rPr>
              <w:t xml:space="preserve">Learners </w:t>
            </w:r>
            <w:r w:rsidRPr="00FF680B">
              <w:rPr>
                <w:bCs/>
                <w:color w:val="000000"/>
                <w:sz w:val="20"/>
                <w:szCs w:val="20"/>
                <w:lang w:val="en-CA" w:eastAsia="en-CA"/>
              </w:rPr>
              <w:t>evaluate the quality of the assembled content.</w:t>
            </w: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  <w:tr w:rsidR="00545F91" w:rsidRPr="00FF680B" w:rsidTr="00545F91">
        <w:trPr>
          <w:trHeight w:val="460"/>
        </w:trPr>
        <w:tc>
          <w:tcPr>
            <w:tcW w:w="1998" w:type="dxa"/>
            <w:vMerge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545F91" w:rsidRPr="00FF680B" w:rsidRDefault="00545F91" w:rsidP="00FF680B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 w:line="276" w:lineRule="auto"/>
              <w:ind w:left="432"/>
              <w:rPr>
                <w:sz w:val="20"/>
                <w:szCs w:val="20"/>
              </w:rPr>
            </w:pPr>
            <w:r w:rsidRPr="00FF680B">
              <w:rPr>
                <w:color w:val="000000"/>
                <w:sz w:val="20"/>
                <w:szCs w:val="20"/>
              </w:rPr>
              <w:t>Learners</w:t>
            </w:r>
            <w:r w:rsidRPr="00FF680B">
              <w:rPr>
                <w:spacing w:val="-2"/>
                <w:sz w:val="20"/>
                <w:szCs w:val="20"/>
              </w:rPr>
              <w:t xml:space="preserve"> </w:t>
            </w:r>
            <w:r w:rsidRPr="00FF680B">
              <w:rPr>
                <w:sz w:val="20"/>
                <w:szCs w:val="20"/>
              </w:rPr>
              <w:t xml:space="preserve">are </w:t>
            </w:r>
            <w:r w:rsidRPr="00FF680B">
              <w:rPr>
                <w:spacing w:val="-1"/>
                <w:sz w:val="20"/>
                <w:szCs w:val="20"/>
              </w:rPr>
              <w:t>e</w:t>
            </w:r>
            <w:r w:rsidRPr="00FF680B">
              <w:rPr>
                <w:spacing w:val="-3"/>
                <w:sz w:val="20"/>
                <w:szCs w:val="20"/>
              </w:rPr>
              <w:t>n</w:t>
            </w:r>
            <w:r w:rsidRPr="00FF680B">
              <w:rPr>
                <w:sz w:val="20"/>
                <w:szCs w:val="20"/>
              </w:rPr>
              <w:t>c</w:t>
            </w:r>
            <w:r w:rsidRPr="00FF680B">
              <w:rPr>
                <w:spacing w:val="-1"/>
                <w:sz w:val="20"/>
                <w:szCs w:val="20"/>
              </w:rPr>
              <w:t>ou</w:t>
            </w:r>
            <w:r w:rsidRPr="00FF680B">
              <w:rPr>
                <w:sz w:val="20"/>
                <w:szCs w:val="20"/>
              </w:rPr>
              <w:t>r</w:t>
            </w:r>
            <w:r w:rsidRPr="00FF680B">
              <w:rPr>
                <w:spacing w:val="-3"/>
                <w:sz w:val="20"/>
                <w:szCs w:val="20"/>
              </w:rPr>
              <w:t>a</w:t>
            </w:r>
            <w:r w:rsidRPr="00FF680B">
              <w:rPr>
                <w:spacing w:val="1"/>
                <w:sz w:val="20"/>
                <w:szCs w:val="20"/>
              </w:rPr>
              <w:t>g</w:t>
            </w:r>
            <w:r w:rsidRPr="00FF680B">
              <w:rPr>
                <w:spacing w:val="-1"/>
                <w:sz w:val="20"/>
                <w:szCs w:val="20"/>
              </w:rPr>
              <w:t>e</w:t>
            </w:r>
            <w:r w:rsidRPr="00FF680B">
              <w:rPr>
                <w:sz w:val="20"/>
                <w:szCs w:val="20"/>
              </w:rPr>
              <w:t>d</w:t>
            </w:r>
            <w:r w:rsidRPr="00FF680B">
              <w:rPr>
                <w:spacing w:val="-2"/>
                <w:sz w:val="20"/>
                <w:szCs w:val="20"/>
              </w:rPr>
              <w:t xml:space="preserve"> </w:t>
            </w:r>
            <w:r w:rsidRPr="00FF680B">
              <w:rPr>
                <w:spacing w:val="1"/>
                <w:sz w:val="20"/>
                <w:szCs w:val="20"/>
              </w:rPr>
              <w:t>t</w:t>
            </w:r>
            <w:r w:rsidRPr="00FF680B">
              <w:rPr>
                <w:sz w:val="20"/>
                <w:szCs w:val="20"/>
              </w:rPr>
              <w:t xml:space="preserve">o </w:t>
            </w:r>
            <w:r w:rsidRPr="00FF680B">
              <w:rPr>
                <w:spacing w:val="-1"/>
                <w:sz w:val="20"/>
                <w:szCs w:val="20"/>
              </w:rPr>
              <w:t>b</w:t>
            </w:r>
            <w:r w:rsidRPr="00FF680B">
              <w:rPr>
                <w:spacing w:val="-3"/>
                <w:sz w:val="20"/>
                <w:szCs w:val="20"/>
              </w:rPr>
              <w:t>e</w:t>
            </w:r>
            <w:r w:rsidRPr="00FF680B">
              <w:rPr>
                <w:sz w:val="20"/>
                <w:szCs w:val="20"/>
              </w:rPr>
              <w:t>c</w:t>
            </w:r>
            <w:r w:rsidRPr="00FF680B">
              <w:rPr>
                <w:spacing w:val="-1"/>
                <w:sz w:val="20"/>
                <w:szCs w:val="20"/>
              </w:rPr>
              <w:t>o</w:t>
            </w:r>
            <w:r w:rsidRPr="00FF680B">
              <w:rPr>
                <w:sz w:val="20"/>
                <w:szCs w:val="20"/>
              </w:rPr>
              <w:t>me</w:t>
            </w:r>
            <w:r w:rsidRPr="00FF680B">
              <w:rPr>
                <w:spacing w:val="-2"/>
                <w:sz w:val="20"/>
                <w:szCs w:val="20"/>
              </w:rPr>
              <w:t xml:space="preserve"> </w:t>
            </w:r>
            <w:r w:rsidRPr="00FF680B">
              <w:rPr>
                <w:sz w:val="20"/>
                <w:szCs w:val="20"/>
              </w:rPr>
              <w:t>s</w:t>
            </w:r>
            <w:r w:rsidRPr="00FF680B">
              <w:rPr>
                <w:spacing w:val="-1"/>
                <w:sz w:val="20"/>
                <w:szCs w:val="20"/>
              </w:rPr>
              <w:t>e</w:t>
            </w:r>
            <w:r w:rsidRPr="00FF680B">
              <w:rPr>
                <w:spacing w:val="-4"/>
                <w:sz w:val="20"/>
                <w:szCs w:val="20"/>
              </w:rPr>
              <w:t>l</w:t>
            </w:r>
            <w:r w:rsidRPr="00FF680B">
              <w:rPr>
                <w:sz w:val="20"/>
                <w:szCs w:val="20"/>
              </w:rPr>
              <w:t>f</w:t>
            </w:r>
            <w:r w:rsidRPr="00FF680B">
              <w:rPr>
                <w:spacing w:val="1"/>
                <w:sz w:val="20"/>
                <w:szCs w:val="20"/>
              </w:rPr>
              <w:t>-</w:t>
            </w:r>
            <w:r w:rsidRPr="00FF680B">
              <w:rPr>
                <w:sz w:val="20"/>
                <w:szCs w:val="20"/>
              </w:rPr>
              <w:t>r</w:t>
            </w:r>
            <w:r w:rsidRPr="00FF680B">
              <w:rPr>
                <w:spacing w:val="-3"/>
                <w:sz w:val="20"/>
                <w:szCs w:val="20"/>
              </w:rPr>
              <w:t>e</w:t>
            </w:r>
            <w:r w:rsidRPr="00FF680B">
              <w:rPr>
                <w:spacing w:val="1"/>
                <w:sz w:val="20"/>
                <w:szCs w:val="20"/>
              </w:rPr>
              <w:t>g</w:t>
            </w:r>
            <w:r w:rsidRPr="00FF680B">
              <w:rPr>
                <w:spacing w:val="-1"/>
                <w:sz w:val="20"/>
                <w:szCs w:val="20"/>
              </w:rPr>
              <w:t>ula</w:t>
            </w:r>
            <w:r w:rsidRPr="00FF680B">
              <w:rPr>
                <w:spacing w:val="1"/>
                <w:sz w:val="20"/>
                <w:szCs w:val="20"/>
              </w:rPr>
              <w:t>t</w:t>
            </w:r>
            <w:r w:rsidRPr="00FF680B">
              <w:rPr>
                <w:spacing w:val="-3"/>
                <w:sz w:val="20"/>
                <w:szCs w:val="20"/>
              </w:rPr>
              <w:t>o</w:t>
            </w:r>
            <w:r w:rsidRPr="00FF680B">
              <w:rPr>
                <w:sz w:val="20"/>
                <w:szCs w:val="20"/>
              </w:rPr>
              <w:t>r</w:t>
            </w:r>
            <w:r w:rsidRPr="00FF680B">
              <w:rPr>
                <w:spacing w:val="-3"/>
                <w:sz w:val="20"/>
                <w:szCs w:val="20"/>
              </w:rPr>
              <w:t>y</w:t>
            </w:r>
            <w:r w:rsidRPr="00FF680B">
              <w:rPr>
                <w:sz w:val="20"/>
                <w:szCs w:val="20"/>
              </w:rPr>
              <w:t>,</w:t>
            </w:r>
            <w:r w:rsidRPr="00FF680B">
              <w:rPr>
                <w:spacing w:val="2"/>
                <w:sz w:val="20"/>
                <w:szCs w:val="20"/>
              </w:rPr>
              <w:t xml:space="preserve"> </w:t>
            </w:r>
            <w:r w:rsidRPr="00FF680B">
              <w:rPr>
                <w:sz w:val="20"/>
                <w:szCs w:val="20"/>
              </w:rPr>
              <w:t>s</w:t>
            </w:r>
            <w:r w:rsidRPr="00FF680B">
              <w:rPr>
                <w:spacing w:val="-1"/>
                <w:sz w:val="20"/>
                <w:szCs w:val="20"/>
              </w:rPr>
              <w:t>e</w:t>
            </w:r>
            <w:r w:rsidRPr="00FF680B">
              <w:rPr>
                <w:spacing w:val="-4"/>
                <w:sz w:val="20"/>
                <w:szCs w:val="20"/>
              </w:rPr>
              <w:t>l</w:t>
            </w:r>
            <w:r w:rsidRPr="00FF680B">
              <w:rPr>
                <w:sz w:val="20"/>
                <w:szCs w:val="20"/>
              </w:rPr>
              <w:t>f</w:t>
            </w:r>
            <w:r w:rsidRPr="00FF680B">
              <w:rPr>
                <w:spacing w:val="2"/>
                <w:sz w:val="20"/>
                <w:szCs w:val="20"/>
              </w:rPr>
              <w:t xml:space="preserve"> </w:t>
            </w:r>
            <w:r w:rsidRPr="00FF680B">
              <w:rPr>
                <w:sz w:val="20"/>
                <w:szCs w:val="20"/>
              </w:rPr>
              <w:t>m</w:t>
            </w:r>
            <w:r w:rsidRPr="00FF680B">
              <w:rPr>
                <w:spacing w:val="-1"/>
                <w:sz w:val="20"/>
                <w:szCs w:val="20"/>
              </w:rPr>
              <w:t>edi</w:t>
            </w:r>
            <w:r w:rsidRPr="00FF680B">
              <w:rPr>
                <w:spacing w:val="-3"/>
                <w:sz w:val="20"/>
                <w:szCs w:val="20"/>
              </w:rPr>
              <w:t>a</w:t>
            </w:r>
            <w:r w:rsidRPr="00FF680B">
              <w:rPr>
                <w:spacing w:val="1"/>
                <w:sz w:val="20"/>
                <w:szCs w:val="20"/>
              </w:rPr>
              <w:t>t</w:t>
            </w:r>
            <w:r w:rsidRPr="00FF680B">
              <w:rPr>
                <w:spacing w:val="-3"/>
                <w:sz w:val="20"/>
                <w:szCs w:val="20"/>
              </w:rPr>
              <w:t>e</w:t>
            </w:r>
            <w:r w:rsidRPr="00FF680B">
              <w:rPr>
                <w:spacing w:val="-1"/>
                <w:sz w:val="20"/>
                <w:szCs w:val="20"/>
              </w:rPr>
              <w:t>d</w:t>
            </w:r>
            <w:r w:rsidRPr="00FF680B">
              <w:rPr>
                <w:sz w:val="20"/>
                <w:szCs w:val="20"/>
              </w:rPr>
              <w:t xml:space="preserve">, </w:t>
            </w:r>
            <w:r w:rsidRPr="00FF680B">
              <w:rPr>
                <w:spacing w:val="-1"/>
                <w:sz w:val="20"/>
                <w:szCs w:val="20"/>
              </w:rPr>
              <w:t>an</w:t>
            </w:r>
            <w:r w:rsidRPr="00FF680B">
              <w:rPr>
                <w:sz w:val="20"/>
                <w:szCs w:val="20"/>
              </w:rPr>
              <w:t>d s</w:t>
            </w:r>
            <w:r w:rsidRPr="00FF680B">
              <w:rPr>
                <w:spacing w:val="-1"/>
                <w:sz w:val="20"/>
                <w:szCs w:val="20"/>
              </w:rPr>
              <w:t>e</w:t>
            </w:r>
            <w:r w:rsidRPr="00FF680B">
              <w:rPr>
                <w:spacing w:val="-4"/>
                <w:sz w:val="20"/>
                <w:szCs w:val="20"/>
              </w:rPr>
              <w:t>l</w:t>
            </w:r>
            <w:r w:rsidRPr="00FF680B">
              <w:rPr>
                <w:spacing w:val="3"/>
                <w:sz w:val="20"/>
                <w:szCs w:val="20"/>
              </w:rPr>
              <w:t>f</w:t>
            </w:r>
            <w:r w:rsidRPr="00FF680B">
              <w:rPr>
                <w:spacing w:val="1"/>
                <w:sz w:val="20"/>
                <w:szCs w:val="20"/>
              </w:rPr>
              <w:t>-</w:t>
            </w:r>
            <w:r w:rsidRPr="00FF680B">
              <w:rPr>
                <w:spacing w:val="-1"/>
                <w:sz w:val="20"/>
                <w:szCs w:val="20"/>
              </w:rPr>
              <w:t>a</w:t>
            </w:r>
            <w:r w:rsidRPr="00FF680B">
              <w:rPr>
                <w:spacing w:val="-4"/>
                <w:sz w:val="20"/>
                <w:szCs w:val="20"/>
              </w:rPr>
              <w:t>w</w:t>
            </w:r>
            <w:r w:rsidRPr="00FF680B">
              <w:rPr>
                <w:spacing w:val="-1"/>
                <w:sz w:val="20"/>
                <w:szCs w:val="20"/>
              </w:rPr>
              <w:t>a</w:t>
            </w:r>
            <w:r w:rsidRPr="00FF680B">
              <w:rPr>
                <w:sz w:val="20"/>
                <w:szCs w:val="20"/>
              </w:rPr>
              <w:t>r</w:t>
            </w:r>
            <w:r w:rsidRPr="00FF680B">
              <w:rPr>
                <w:spacing w:val="-1"/>
                <w:sz w:val="20"/>
                <w:szCs w:val="20"/>
              </w:rPr>
              <w:t>e</w:t>
            </w:r>
            <w:r w:rsidRPr="00FF680B">
              <w:rPr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  <w:tr w:rsidR="00545F91" w:rsidRPr="00FF680B" w:rsidTr="00545F91">
        <w:trPr>
          <w:trHeight w:val="225"/>
        </w:trPr>
        <w:tc>
          <w:tcPr>
            <w:tcW w:w="1998" w:type="dxa"/>
            <w:vMerge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545F91" w:rsidRPr="00FF680B" w:rsidRDefault="00545F91" w:rsidP="00FF680B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 w:line="276" w:lineRule="auto"/>
              <w:ind w:left="432"/>
              <w:rPr>
                <w:color w:val="000000"/>
                <w:sz w:val="20"/>
                <w:szCs w:val="20"/>
              </w:rPr>
            </w:pPr>
            <w:r w:rsidRPr="00FF680B">
              <w:rPr>
                <w:color w:val="000000"/>
                <w:sz w:val="20"/>
                <w:szCs w:val="20"/>
              </w:rPr>
              <w:t xml:space="preserve">Learners </w:t>
            </w:r>
            <w:r w:rsidRPr="00FF680B">
              <w:rPr>
                <w:sz w:val="20"/>
                <w:szCs w:val="20"/>
              </w:rPr>
              <w:t xml:space="preserve">are given the opportunity to review their own and their peers learning. </w:t>
            </w: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45F91" w:rsidRPr="00FF680B" w:rsidRDefault="00545F91" w:rsidP="009212D2">
            <w:pPr>
              <w:pStyle w:val="NormalWeb"/>
              <w:spacing w:line="226" w:lineRule="atLeast"/>
              <w:rPr>
                <w:color w:val="000000"/>
                <w:sz w:val="20"/>
                <w:szCs w:val="20"/>
              </w:rPr>
            </w:pPr>
          </w:p>
        </w:tc>
      </w:tr>
    </w:tbl>
    <w:p w:rsidR="007E153F" w:rsidRPr="003506FD" w:rsidRDefault="007E153F" w:rsidP="003506FD">
      <w:pPr>
        <w:pStyle w:val="Heading1"/>
        <w:pageBreakBefore/>
      </w:pPr>
      <w:r w:rsidRPr="003506FD">
        <w:lastRenderedPageBreak/>
        <w:t>References</w:t>
      </w:r>
    </w:p>
    <w:p w:rsidR="007E153F" w:rsidRPr="003506FD" w:rsidRDefault="007E153F" w:rsidP="003506FD">
      <w:pPr>
        <w:spacing w:line="360" w:lineRule="auto"/>
        <w:rPr>
          <w:rFonts w:ascii="Times New Roman" w:hAnsi="Times New Roman" w:cs="Times New Roman"/>
        </w:rPr>
      </w:pPr>
      <w:proofErr w:type="gramStart"/>
      <w:r w:rsidRPr="003506FD">
        <w:rPr>
          <w:rFonts w:ascii="Times New Roman" w:hAnsi="Times New Roman" w:cs="Times New Roman"/>
        </w:rPr>
        <w:t>Driver, R., and Oldham, V. (1986).</w:t>
      </w:r>
      <w:proofErr w:type="gramEnd"/>
      <w:r w:rsidRPr="003506FD">
        <w:rPr>
          <w:rFonts w:ascii="Times New Roman" w:hAnsi="Times New Roman" w:cs="Times New Roman"/>
        </w:rPr>
        <w:t xml:space="preserve"> </w:t>
      </w:r>
      <w:proofErr w:type="gramStart"/>
      <w:r w:rsidRPr="003506FD">
        <w:rPr>
          <w:rFonts w:ascii="Times New Roman" w:hAnsi="Times New Roman" w:cs="Times New Roman"/>
        </w:rPr>
        <w:t>A constructivist approach to curriculum development.</w:t>
      </w:r>
      <w:proofErr w:type="gramEnd"/>
      <w:r w:rsidRPr="003506FD">
        <w:rPr>
          <w:rFonts w:ascii="Times New Roman" w:hAnsi="Times New Roman" w:cs="Times New Roman"/>
        </w:rPr>
        <w:t xml:space="preserve"> Studies in Science Education, 13, 105-122.</w:t>
      </w:r>
    </w:p>
    <w:p w:rsidR="007E153F" w:rsidRPr="003506FD" w:rsidRDefault="007E153F" w:rsidP="003506FD">
      <w:pPr>
        <w:spacing w:line="360" w:lineRule="auto"/>
        <w:rPr>
          <w:rFonts w:ascii="Times New Roman" w:hAnsi="Times New Roman" w:cs="Times New Roman"/>
        </w:rPr>
      </w:pPr>
      <w:r w:rsidRPr="003506FD">
        <w:rPr>
          <w:rFonts w:ascii="Times New Roman" w:hAnsi="Times New Roman" w:cs="Times New Roman"/>
        </w:rPr>
        <w:t>Joyce, C. (2006), Predict, Observe, Explain (POE). Assessment Resource Bank. http://arb.nzcer.org.nz/strategies/poe.php</w:t>
      </w:r>
    </w:p>
    <w:p w:rsidR="007E153F" w:rsidRPr="003506FD" w:rsidRDefault="007E153F" w:rsidP="003506FD">
      <w:pPr>
        <w:spacing w:line="360" w:lineRule="auto"/>
        <w:rPr>
          <w:rFonts w:ascii="Times New Roman" w:hAnsi="Times New Roman" w:cs="Times New Roman"/>
        </w:rPr>
      </w:pPr>
      <w:r w:rsidRPr="003506FD">
        <w:rPr>
          <w:rFonts w:ascii="Times New Roman" w:hAnsi="Times New Roman" w:cs="Times New Roman"/>
        </w:rPr>
        <w:t xml:space="preserve">Matthews, M. R. (1994). </w:t>
      </w:r>
      <w:proofErr w:type="gramStart"/>
      <w:r w:rsidRPr="003506FD">
        <w:rPr>
          <w:rFonts w:ascii="Times New Roman" w:hAnsi="Times New Roman" w:cs="Times New Roman"/>
        </w:rPr>
        <w:t>Science Teaching.</w:t>
      </w:r>
      <w:proofErr w:type="gramEnd"/>
      <w:r w:rsidRPr="003506FD">
        <w:rPr>
          <w:rFonts w:ascii="Times New Roman" w:hAnsi="Times New Roman" w:cs="Times New Roman"/>
        </w:rPr>
        <w:t xml:space="preserve"> New York: </w:t>
      </w:r>
      <w:proofErr w:type="spellStart"/>
      <w:r w:rsidRPr="003506FD">
        <w:rPr>
          <w:rFonts w:ascii="Times New Roman" w:hAnsi="Times New Roman" w:cs="Times New Roman"/>
        </w:rPr>
        <w:t>Routledge</w:t>
      </w:r>
      <w:proofErr w:type="spellEnd"/>
      <w:r w:rsidRPr="003506FD">
        <w:rPr>
          <w:rFonts w:ascii="Times New Roman" w:hAnsi="Times New Roman" w:cs="Times New Roman"/>
        </w:rPr>
        <w:t>, chapter 7.</w:t>
      </w:r>
    </w:p>
    <w:p w:rsidR="007E153F" w:rsidRPr="003506FD" w:rsidRDefault="007E153F" w:rsidP="003506FD">
      <w:pPr>
        <w:spacing w:line="360" w:lineRule="auto"/>
        <w:rPr>
          <w:rFonts w:ascii="Times New Roman" w:hAnsi="Times New Roman" w:cs="Times New Roman"/>
        </w:rPr>
      </w:pPr>
      <w:proofErr w:type="gramStart"/>
      <w:r w:rsidRPr="003506FD">
        <w:rPr>
          <w:rFonts w:ascii="Times New Roman" w:hAnsi="Times New Roman" w:cs="Times New Roman"/>
        </w:rPr>
        <w:t xml:space="preserve">Posner, G. J., Strike, K. A., </w:t>
      </w:r>
      <w:proofErr w:type="spellStart"/>
      <w:r w:rsidRPr="003506FD">
        <w:rPr>
          <w:rFonts w:ascii="Times New Roman" w:hAnsi="Times New Roman" w:cs="Times New Roman"/>
        </w:rPr>
        <w:t>Hewson</w:t>
      </w:r>
      <w:proofErr w:type="spellEnd"/>
      <w:r w:rsidRPr="003506FD">
        <w:rPr>
          <w:rFonts w:ascii="Times New Roman" w:hAnsi="Times New Roman" w:cs="Times New Roman"/>
        </w:rPr>
        <w:t xml:space="preserve">, P. W., &amp; </w:t>
      </w:r>
      <w:proofErr w:type="spellStart"/>
      <w:r w:rsidRPr="003506FD">
        <w:rPr>
          <w:rFonts w:ascii="Times New Roman" w:hAnsi="Times New Roman" w:cs="Times New Roman"/>
        </w:rPr>
        <w:t>Gertzog</w:t>
      </w:r>
      <w:proofErr w:type="spellEnd"/>
      <w:r w:rsidRPr="003506FD">
        <w:rPr>
          <w:rFonts w:ascii="Times New Roman" w:hAnsi="Times New Roman" w:cs="Times New Roman"/>
        </w:rPr>
        <w:t>, W. A. (1982).</w:t>
      </w:r>
      <w:proofErr w:type="gramEnd"/>
      <w:r w:rsidRPr="003506FD">
        <w:rPr>
          <w:rFonts w:ascii="Times New Roman" w:hAnsi="Times New Roman" w:cs="Times New Roman"/>
        </w:rPr>
        <w:t xml:space="preserve"> Accommodation of a scientific conception: Toward a theory of conceptual change. Science Education</w:t>
      </w:r>
      <w:proofErr w:type="gramStart"/>
      <w:r w:rsidRPr="003506FD">
        <w:rPr>
          <w:rFonts w:ascii="Times New Roman" w:hAnsi="Times New Roman" w:cs="Times New Roman"/>
        </w:rPr>
        <w:t>,66</w:t>
      </w:r>
      <w:proofErr w:type="gramEnd"/>
      <w:r w:rsidRPr="003506FD">
        <w:rPr>
          <w:rFonts w:ascii="Times New Roman" w:hAnsi="Times New Roman" w:cs="Times New Roman"/>
        </w:rPr>
        <w:t>, 211-227.</w:t>
      </w:r>
    </w:p>
    <w:p w:rsidR="00943FBF" w:rsidRPr="003506FD" w:rsidRDefault="007E153F" w:rsidP="003506FD">
      <w:pPr>
        <w:spacing w:line="360" w:lineRule="auto"/>
        <w:rPr>
          <w:rFonts w:ascii="Times New Roman" w:hAnsi="Times New Roman" w:cs="Times New Roman"/>
        </w:rPr>
      </w:pPr>
      <w:proofErr w:type="gramStart"/>
      <w:r w:rsidRPr="003506FD">
        <w:rPr>
          <w:rFonts w:ascii="Times New Roman" w:hAnsi="Times New Roman" w:cs="Times New Roman"/>
        </w:rPr>
        <w:t xml:space="preserve">White, R. T., &amp; </w:t>
      </w:r>
      <w:proofErr w:type="spellStart"/>
      <w:r w:rsidRPr="003506FD">
        <w:rPr>
          <w:rFonts w:ascii="Times New Roman" w:hAnsi="Times New Roman" w:cs="Times New Roman"/>
        </w:rPr>
        <w:t>Gunstone</w:t>
      </w:r>
      <w:proofErr w:type="spellEnd"/>
      <w:r w:rsidRPr="003506FD">
        <w:rPr>
          <w:rFonts w:ascii="Times New Roman" w:hAnsi="Times New Roman" w:cs="Times New Roman"/>
        </w:rPr>
        <w:t>, R. F. (1992).</w:t>
      </w:r>
      <w:proofErr w:type="gramEnd"/>
      <w:r w:rsidRPr="003506FD">
        <w:rPr>
          <w:rFonts w:ascii="Times New Roman" w:hAnsi="Times New Roman" w:cs="Times New Roman"/>
        </w:rPr>
        <w:t xml:space="preserve"> </w:t>
      </w:r>
      <w:proofErr w:type="gramStart"/>
      <w:r w:rsidRPr="003506FD">
        <w:rPr>
          <w:rFonts w:ascii="Times New Roman" w:hAnsi="Times New Roman" w:cs="Times New Roman"/>
        </w:rPr>
        <w:t>Probing Understanding.</w:t>
      </w:r>
      <w:proofErr w:type="gramEnd"/>
      <w:r w:rsidRPr="003506FD">
        <w:rPr>
          <w:rFonts w:ascii="Times New Roman" w:hAnsi="Times New Roman" w:cs="Times New Roman"/>
        </w:rPr>
        <w:t xml:space="preserve"> Great Britain: </w:t>
      </w:r>
      <w:proofErr w:type="spellStart"/>
      <w:r w:rsidRPr="003506FD">
        <w:rPr>
          <w:rFonts w:ascii="Times New Roman" w:hAnsi="Times New Roman" w:cs="Times New Roman"/>
        </w:rPr>
        <w:t>Falmer</w:t>
      </w:r>
      <w:proofErr w:type="spellEnd"/>
      <w:r w:rsidRPr="003506FD">
        <w:rPr>
          <w:rFonts w:ascii="Times New Roman" w:hAnsi="Times New Roman" w:cs="Times New Roman"/>
        </w:rPr>
        <w:t xml:space="preserve"> Press</w:t>
      </w:r>
    </w:p>
    <w:sectPr w:rsidR="00943FBF" w:rsidRPr="003506FD" w:rsidSect="00D05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46CB8"/>
    <w:multiLevelType w:val="hybridMultilevel"/>
    <w:tmpl w:val="5EECD85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E153F"/>
    <w:rsid w:val="000B07A0"/>
    <w:rsid w:val="00101C7A"/>
    <w:rsid w:val="003506FD"/>
    <w:rsid w:val="003A1443"/>
    <w:rsid w:val="0054511D"/>
    <w:rsid w:val="00545F91"/>
    <w:rsid w:val="006901E7"/>
    <w:rsid w:val="006E67E2"/>
    <w:rsid w:val="00712456"/>
    <w:rsid w:val="00720CB5"/>
    <w:rsid w:val="007E153F"/>
    <w:rsid w:val="008B2A6D"/>
    <w:rsid w:val="009B057A"/>
    <w:rsid w:val="009D7EAB"/>
    <w:rsid w:val="00B66BEC"/>
    <w:rsid w:val="00CB04B3"/>
    <w:rsid w:val="00D0547B"/>
    <w:rsid w:val="00E10B47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7B"/>
  </w:style>
  <w:style w:type="paragraph" w:styleId="Heading1">
    <w:name w:val="heading 1"/>
    <w:basedOn w:val="Normal"/>
    <w:next w:val="Normal"/>
    <w:link w:val="Heading1Char"/>
    <w:uiPriority w:val="9"/>
    <w:qFormat/>
    <w:rsid w:val="007E1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1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B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B0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B04B3"/>
  </w:style>
  <w:style w:type="character" w:styleId="Hyperlink">
    <w:name w:val="Hyperlink"/>
    <w:basedOn w:val="DefaultParagraphFont"/>
    <w:uiPriority w:val="99"/>
    <w:semiHidden/>
    <w:unhideWhenUsed/>
    <w:rsid w:val="00CB04B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0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melissa.ayers</dc:creator>
  <cp:keywords/>
  <dc:description/>
  <cp:lastModifiedBy>melissa.ayers</cp:lastModifiedBy>
  <cp:revision>8</cp:revision>
  <dcterms:created xsi:type="dcterms:W3CDTF">2012-08-01T07:55:00Z</dcterms:created>
  <dcterms:modified xsi:type="dcterms:W3CDTF">2012-08-02T01:40:00Z</dcterms:modified>
</cp:coreProperties>
</file>