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5C" w:rsidRDefault="00684DC1">
      <w:r>
        <w:t xml:space="preserve">The unit on Web Site Design has been reconstructed to align with Constructivist theory and methodologies.  </w:t>
      </w:r>
      <w:r w:rsidR="00FB7C7A">
        <w:t xml:space="preserve">The lessons within each </w:t>
      </w:r>
      <w:r w:rsidR="0040526E">
        <w:t>module</w:t>
      </w:r>
      <w:bookmarkStart w:id="0" w:name="_GoBack"/>
      <w:bookmarkEnd w:id="0"/>
      <w:r w:rsidR="00FB7C7A">
        <w:t xml:space="preserve"> reflect many of the constructivist elements identified in the Set Criteria as well as CIM (Constructivist Instructional Model).</w:t>
      </w:r>
      <w:r>
        <w:t xml:space="preserve">  The following rubric outlines some of the key criteria which </w:t>
      </w:r>
      <w:r w:rsidR="00FB7C7A">
        <w:t>establish</w:t>
      </w:r>
      <w:r>
        <w:t xml:space="preserve"> the unit as Constructivist in nature.</w:t>
      </w:r>
    </w:p>
    <w:p w:rsidR="00684DC1" w:rsidRDefault="00684DC1"/>
    <w:p w:rsidR="00684DC1" w:rsidRDefault="00684DC1"/>
    <w:p w:rsidR="00684DC1" w:rsidRDefault="00684DC1" w:rsidP="00684DC1">
      <w:pPr>
        <w:pStyle w:val="Title"/>
      </w:pPr>
      <w:r>
        <w:t>Constructivist Elements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684DC1" w:rsidTr="00684DC1">
        <w:tc>
          <w:tcPr>
            <w:tcW w:w="2394" w:type="dxa"/>
          </w:tcPr>
          <w:p w:rsidR="00684DC1" w:rsidRDefault="00684DC1">
            <w:r>
              <w:t>Criteria</w:t>
            </w:r>
          </w:p>
        </w:tc>
        <w:tc>
          <w:tcPr>
            <w:tcW w:w="2394" w:type="dxa"/>
          </w:tcPr>
          <w:p w:rsidR="00684DC1" w:rsidRDefault="00684DC1">
            <w:r>
              <w:t>Agree</w:t>
            </w:r>
          </w:p>
        </w:tc>
        <w:tc>
          <w:tcPr>
            <w:tcW w:w="2394" w:type="dxa"/>
          </w:tcPr>
          <w:p w:rsidR="00684DC1" w:rsidRDefault="00684DC1">
            <w:r>
              <w:t>Disagree</w:t>
            </w:r>
          </w:p>
        </w:tc>
      </w:tr>
      <w:tr w:rsidR="00684DC1" w:rsidTr="00684DC1">
        <w:tc>
          <w:tcPr>
            <w:tcW w:w="2394" w:type="dxa"/>
          </w:tcPr>
          <w:p w:rsidR="00684DC1" w:rsidRDefault="00684DC1">
            <w:r>
              <w:t>Learning activities examine the learner’s own prior conceptions and relate them to the new knowledge.</w:t>
            </w:r>
          </w:p>
        </w:tc>
        <w:tc>
          <w:tcPr>
            <w:tcW w:w="2394" w:type="dxa"/>
          </w:tcPr>
          <w:p w:rsidR="00684DC1" w:rsidRDefault="00684DC1"/>
        </w:tc>
        <w:tc>
          <w:tcPr>
            <w:tcW w:w="2394" w:type="dxa"/>
          </w:tcPr>
          <w:p w:rsidR="00684DC1" w:rsidRDefault="00684DC1"/>
        </w:tc>
      </w:tr>
      <w:tr w:rsidR="00684DC1" w:rsidTr="00684DC1">
        <w:tc>
          <w:tcPr>
            <w:tcW w:w="2394" w:type="dxa"/>
          </w:tcPr>
          <w:p w:rsidR="00684DC1" w:rsidRDefault="00684DC1">
            <w:r>
              <w:t>The environment focuses on a problem, project, question, or issue with various interpretative and intellectual support systems surrounding it</w:t>
            </w:r>
          </w:p>
        </w:tc>
        <w:tc>
          <w:tcPr>
            <w:tcW w:w="2394" w:type="dxa"/>
          </w:tcPr>
          <w:p w:rsidR="00684DC1" w:rsidRDefault="00684DC1"/>
        </w:tc>
        <w:tc>
          <w:tcPr>
            <w:tcW w:w="2394" w:type="dxa"/>
          </w:tcPr>
          <w:p w:rsidR="00684DC1" w:rsidRDefault="00684DC1"/>
        </w:tc>
      </w:tr>
      <w:tr w:rsidR="00684DC1" w:rsidTr="00684DC1">
        <w:tc>
          <w:tcPr>
            <w:tcW w:w="2394" w:type="dxa"/>
          </w:tcPr>
          <w:p w:rsidR="00684DC1" w:rsidRDefault="00684DC1">
            <w:r>
              <w:t>Learners have access to resources for problem solving, information banks and discussion forums</w:t>
            </w:r>
          </w:p>
        </w:tc>
        <w:tc>
          <w:tcPr>
            <w:tcW w:w="2394" w:type="dxa"/>
          </w:tcPr>
          <w:p w:rsidR="00684DC1" w:rsidRDefault="00684DC1"/>
        </w:tc>
        <w:tc>
          <w:tcPr>
            <w:tcW w:w="2394" w:type="dxa"/>
          </w:tcPr>
          <w:p w:rsidR="00684DC1" w:rsidRDefault="00684DC1"/>
        </w:tc>
      </w:tr>
      <w:tr w:rsidR="00684DC1" w:rsidTr="00684DC1">
        <w:tc>
          <w:tcPr>
            <w:tcW w:w="2394" w:type="dxa"/>
          </w:tcPr>
          <w:p w:rsidR="00684DC1" w:rsidRDefault="00684DC1">
            <w:r>
              <w:t>Learners are able to affect the environment in some way by manipulating something such as constructing a product, manipulating parameters, making decisions</w:t>
            </w:r>
          </w:p>
        </w:tc>
        <w:tc>
          <w:tcPr>
            <w:tcW w:w="2394" w:type="dxa"/>
          </w:tcPr>
          <w:p w:rsidR="00684DC1" w:rsidRDefault="00684DC1"/>
        </w:tc>
        <w:tc>
          <w:tcPr>
            <w:tcW w:w="2394" w:type="dxa"/>
          </w:tcPr>
          <w:p w:rsidR="00684DC1" w:rsidRDefault="00684DC1"/>
        </w:tc>
      </w:tr>
      <w:tr w:rsidR="00684DC1" w:rsidTr="00684DC1">
        <w:tc>
          <w:tcPr>
            <w:tcW w:w="2394" w:type="dxa"/>
          </w:tcPr>
          <w:p w:rsidR="00684DC1" w:rsidRDefault="00684DC1">
            <w:r>
              <w:t>Hypermedia and multimedia is used primarily as a medium for the learner to construct knowledge, rather than as a medium to deliver instruction.</w:t>
            </w:r>
          </w:p>
        </w:tc>
        <w:tc>
          <w:tcPr>
            <w:tcW w:w="2394" w:type="dxa"/>
          </w:tcPr>
          <w:p w:rsidR="00684DC1" w:rsidRDefault="00684DC1"/>
        </w:tc>
        <w:tc>
          <w:tcPr>
            <w:tcW w:w="2394" w:type="dxa"/>
          </w:tcPr>
          <w:p w:rsidR="00684DC1" w:rsidRDefault="00684DC1"/>
        </w:tc>
      </w:tr>
      <w:tr w:rsidR="00684DC1" w:rsidTr="00684DC1">
        <w:tc>
          <w:tcPr>
            <w:tcW w:w="2394" w:type="dxa"/>
          </w:tcPr>
          <w:p w:rsidR="00684DC1" w:rsidRDefault="00684DC1">
            <w:r>
              <w:t xml:space="preserve">Learners access, transform and translate information into knowledge </w:t>
            </w:r>
            <w:r>
              <w:lastRenderedPageBreak/>
              <w:t>through developing new interpretations and perspectives</w:t>
            </w:r>
          </w:p>
        </w:tc>
        <w:tc>
          <w:tcPr>
            <w:tcW w:w="2394" w:type="dxa"/>
          </w:tcPr>
          <w:p w:rsidR="00684DC1" w:rsidRDefault="00684DC1"/>
        </w:tc>
        <w:tc>
          <w:tcPr>
            <w:tcW w:w="2394" w:type="dxa"/>
          </w:tcPr>
          <w:p w:rsidR="00684DC1" w:rsidRDefault="00684DC1"/>
        </w:tc>
      </w:tr>
      <w:tr w:rsidR="00684DC1" w:rsidTr="00684DC1">
        <w:tc>
          <w:tcPr>
            <w:tcW w:w="2394" w:type="dxa"/>
          </w:tcPr>
          <w:p w:rsidR="00684DC1" w:rsidRDefault="00684DC1">
            <w:r>
              <w:lastRenderedPageBreak/>
              <w:t>Learners evaluate the quality and quantity of the assembled content</w:t>
            </w:r>
          </w:p>
        </w:tc>
        <w:tc>
          <w:tcPr>
            <w:tcW w:w="2394" w:type="dxa"/>
          </w:tcPr>
          <w:p w:rsidR="00684DC1" w:rsidRDefault="00684DC1"/>
        </w:tc>
        <w:tc>
          <w:tcPr>
            <w:tcW w:w="2394" w:type="dxa"/>
          </w:tcPr>
          <w:p w:rsidR="00684DC1" w:rsidRDefault="00684DC1"/>
        </w:tc>
      </w:tr>
      <w:tr w:rsidR="00684DC1" w:rsidTr="00684DC1">
        <w:tc>
          <w:tcPr>
            <w:tcW w:w="2394" w:type="dxa"/>
          </w:tcPr>
          <w:p w:rsidR="00684DC1" w:rsidRDefault="00684DC1">
            <w:r>
              <w:t>Forums for social negotiation and mediation provide learners opportunities to exchange perspectives and reconcile dissonant views</w:t>
            </w:r>
          </w:p>
        </w:tc>
        <w:tc>
          <w:tcPr>
            <w:tcW w:w="2394" w:type="dxa"/>
          </w:tcPr>
          <w:p w:rsidR="00684DC1" w:rsidRDefault="00684DC1"/>
        </w:tc>
        <w:tc>
          <w:tcPr>
            <w:tcW w:w="2394" w:type="dxa"/>
          </w:tcPr>
          <w:p w:rsidR="00684DC1" w:rsidRDefault="00684DC1"/>
        </w:tc>
      </w:tr>
      <w:tr w:rsidR="00684DC1" w:rsidTr="00684DC1">
        <w:tc>
          <w:tcPr>
            <w:tcW w:w="2394" w:type="dxa"/>
          </w:tcPr>
          <w:p w:rsidR="00684DC1" w:rsidRDefault="00684DC1">
            <w:r>
              <w:t>Learners are provided with opportunities for collaboration</w:t>
            </w:r>
          </w:p>
        </w:tc>
        <w:tc>
          <w:tcPr>
            <w:tcW w:w="2394" w:type="dxa"/>
          </w:tcPr>
          <w:p w:rsidR="00684DC1" w:rsidRDefault="00684DC1"/>
        </w:tc>
        <w:tc>
          <w:tcPr>
            <w:tcW w:w="2394" w:type="dxa"/>
          </w:tcPr>
          <w:p w:rsidR="00684DC1" w:rsidRDefault="00684DC1"/>
        </w:tc>
      </w:tr>
      <w:tr w:rsidR="00684DC1" w:rsidTr="00684DC1">
        <w:tc>
          <w:tcPr>
            <w:tcW w:w="2394" w:type="dxa"/>
          </w:tcPr>
          <w:p w:rsidR="00684DC1" w:rsidRDefault="00684DC1">
            <w:r>
              <w:t>Learning environment supports project based, problem based learning</w:t>
            </w:r>
          </w:p>
        </w:tc>
        <w:tc>
          <w:tcPr>
            <w:tcW w:w="2394" w:type="dxa"/>
          </w:tcPr>
          <w:p w:rsidR="00684DC1" w:rsidRDefault="00684DC1"/>
        </w:tc>
        <w:tc>
          <w:tcPr>
            <w:tcW w:w="2394" w:type="dxa"/>
          </w:tcPr>
          <w:p w:rsidR="00684DC1" w:rsidRDefault="00684DC1"/>
        </w:tc>
      </w:tr>
      <w:tr w:rsidR="00684DC1" w:rsidTr="00684DC1">
        <w:tc>
          <w:tcPr>
            <w:tcW w:w="2394" w:type="dxa"/>
          </w:tcPr>
          <w:p w:rsidR="00684DC1" w:rsidRDefault="00684DC1">
            <w:r>
              <w:t>Problems are interesting, relevant and engaging</w:t>
            </w:r>
          </w:p>
        </w:tc>
        <w:tc>
          <w:tcPr>
            <w:tcW w:w="2394" w:type="dxa"/>
          </w:tcPr>
          <w:p w:rsidR="00684DC1" w:rsidRDefault="00684DC1"/>
        </w:tc>
        <w:tc>
          <w:tcPr>
            <w:tcW w:w="2394" w:type="dxa"/>
          </w:tcPr>
          <w:p w:rsidR="00684DC1" w:rsidRDefault="00684DC1"/>
        </w:tc>
      </w:tr>
      <w:tr w:rsidR="00684DC1" w:rsidTr="00684DC1">
        <w:tc>
          <w:tcPr>
            <w:tcW w:w="2394" w:type="dxa"/>
          </w:tcPr>
          <w:p w:rsidR="00684DC1" w:rsidRDefault="00684DC1">
            <w:r>
              <w:t>Learners examine personal beliefs, conceptions and personal theories about the subject matter.</w:t>
            </w:r>
          </w:p>
        </w:tc>
        <w:tc>
          <w:tcPr>
            <w:tcW w:w="2394" w:type="dxa"/>
          </w:tcPr>
          <w:p w:rsidR="00684DC1" w:rsidRDefault="00684DC1"/>
        </w:tc>
        <w:tc>
          <w:tcPr>
            <w:tcW w:w="2394" w:type="dxa"/>
          </w:tcPr>
          <w:p w:rsidR="00684DC1" w:rsidRDefault="00684DC1"/>
        </w:tc>
      </w:tr>
      <w:tr w:rsidR="00684DC1" w:rsidTr="00684DC1">
        <w:tc>
          <w:tcPr>
            <w:tcW w:w="2394" w:type="dxa"/>
          </w:tcPr>
          <w:p w:rsidR="00684DC1" w:rsidRDefault="00FB7C7A">
            <w:r>
              <w:t>Assessment of skills involves using the skills, not describing them verbally</w:t>
            </w:r>
          </w:p>
        </w:tc>
        <w:tc>
          <w:tcPr>
            <w:tcW w:w="2394" w:type="dxa"/>
          </w:tcPr>
          <w:p w:rsidR="00684DC1" w:rsidRDefault="00684DC1"/>
        </w:tc>
        <w:tc>
          <w:tcPr>
            <w:tcW w:w="2394" w:type="dxa"/>
          </w:tcPr>
          <w:p w:rsidR="00684DC1" w:rsidRDefault="00684DC1"/>
        </w:tc>
      </w:tr>
      <w:tr w:rsidR="00FB7C7A" w:rsidTr="00684DC1">
        <w:tc>
          <w:tcPr>
            <w:tcW w:w="2394" w:type="dxa"/>
          </w:tcPr>
          <w:p w:rsidR="00FB7C7A" w:rsidRDefault="00FB7C7A">
            <w:proofErr w:type="spellStart"/>
            <w:r>
              <w:t>Mutliple</w:t>
            </w:r>
            <w:proofErr w:type="spellEnd"/>
            <w:r>
              <w:t xml:space="preserve"> perspectives are included in the evaluation process.</w:t>
            </w:r>
          </w:p>
        </w:tc>
        <w:tc>
          <w:tcPr>
            <w:tcW w:w="2394" w:type="dxa"/>
          </w:tcPr>
          <w:p w:rsidR="00FB7C7A" w:rsidRDefault="00FB7C7A"/>
        </w:tc>
        <w:tc>
          <w:tcPr>
            <w:tcW w:w="2394" w:type="dxa"/>
          </w:tcPr>
          <w:p w:rsidR="00FB7C7A" w:rsidRDefault="00FB7C7A"/>
        </w:tc>
      </w:tr>
      <w:tr w:rsidR="00FB7C7A" w:rsidTr="00684DC1">
        <w:tc>
          <w:tcPr>
            <w:tcW w:w="2394" w:type="dxa"/>
          </w:tcPr>
          <w:p w:rsidR="00FB7C7A" w:rsidRPr="00FB7C7A" w:rsidRDefault="00FB7C7A" w:rsidP="00FB7C7A">
            <w:pPr>
              <w:pStyle w:val="Heading3"/>
              <w:outlineLvl w:val="2"/>
              <w:rPr>
                <w:u w:val="single"/>
              </w:rPr>
            </w:pPr>
            <w:r w:rsidRPr="00FB7C7A">
              <w:rPr>
                <w:u w:val="single"/>
              </w:rPr>
              <w:lastRenderedPageBreak/>
              <w:t>CIM elements</w:t>
            </w:r>
          </w:p>
        </w:tc>
        <w:tc>
          <w:tcPr>
            <w:tcW w:w="2394" w:type="dxa"/>
          </w:tcPr>
          <w:p w:rsidR="00FB7C7A" w:rsidRDefault="00FB7C7A"/>
        </w:tc>
        <w:tc>
          <w:tcPr>
            <w:tcW w:w="2394" w:type="dxa"/>
          </w:tcPr>
          <w:p w:rsidR="00FB7C7A" w:rsidRDefault="00FB7C7A"/>
        </w:tc>
      </w:tr>
      <w:tr w:rsidR="00FB7C7A" w:rsidTr="00684DC1">
        <w:tc>
          <w:tcPr>
            <w:tcW w:w="2394" w:type="dxa"/>
          </w:tcPr>
          <w:p w:rsidR="00FB7C7A" w:rsidRPr="00FB7C7A" w:rsidRDefault="00FB7C7A" w:rsidP="00FB7C7A">
            <w:pPr>
              <w:pStyle w:val="Heading3"/>
              <w:outlineLvl w:val="2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Identify learners views and ideas (prior knowledge</w:t>
            </w:r>
          </w:p>
        </w:tc>
        <w:tc>
          <w:tcPr>
            <w:tcW w:w="2394" w:type="dxa"/>
          </w:tcPr>
          <w:p w:rsidR="00FB7C7A" w:rsidRDefault="00FB7C7A"/>
        </w:tc>
        <w:tc>
          <w:tcPr>
            <w:tcW w:w="2394" w:type="dxa"/>
          </w:tcPr>
          <w:p w:rsidR="00FB7C7A" w:rsidRDefault="00FB7C7A"/>
        </w:tc>
      </w:tr>
      <w:tr w:rsidR="00FB7C7A" w:rsidTr="00684DC1">
        <w:tc>
          <w:tcPr>
            <w:tcW w:w="2394" w:type="dxa"/>
          </w:tcPr>
          <w:p w:rsidR="00FB7C7A" w:rsidRDefault="00FB7C7A" w:rsidP="00FB7C7A">
            <w:pPr>
              <w:pStyle w:val="Heading3"/>
              <w:outlineLvl w:val="2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Create opportunities for the learners to explore their ideas</w:t>
            </w:r>
          </w:p>
        </w:tc>
        <w:tc>
          <w:tcPr>
            <w:tcW w:w="2394" w:type="dxa"/>
          </w:tcPr>
          <w:p w:rsidR="00FB7C7A" w:rsidRDefault="00FB7C7A"/>
        </w:tc>
        <w:tc>
          <w:tcPr>
            <w:tcW w:w="2394" w:type="dxa"/>
          </w:tcPr>
          <w:p w:rsidR="00FB7C7A" w:rsidRDefault="00FB7C7A"/>
        </w:tc>
      </w:tr>
      <w:tr w:rsidR="00FB7C7A" w:rsidTr="00684DC1">
        <w:tc>
          <w:tcPr>
            <w:tcW w:w="2394" w:type="dxa"/>
          </w:tcPr>
          <w:p w:rsidR="00FB7C7A" w:rsidRDefault="00FB7C7A" w:rsidP="00FB7C7A">
            <w:pPr>
              <w:pStyle w:val="Heading3"/>
              <w:outlineLvl w:val="2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 xml:space="preserve">Provide stimuli for students to develop, </w:t>
            </w:r>
            <w:proofErr w:type="spellStart"/>
            <w:r>
              <w:rPr>
                <w:rFonts w:ascii="Arial" w:hAnsi="Arial" w:cs="Arial"/>
                <w:b w:val="0"/>
                <w:color w:val="auto"/>
              </w:rPr>
              <w:t>momdify</w:t>
            </w:r>
            <w:proofErr w:type="spellEnd"/>
            <w:r>
              <w:rPr>
                <w:rFonts w:ascii="Arial" w:hAnsi="Arial" w:cs="Arial"/>
                <w:b w:val="0"/>
                <w:color w:val="auto"/>
              </w:rPr>
              <w:t xml:space="preserve"> and where necessary change their ideas and views</w:t>
            </w:r>
          </w:p>
        </w:tc>
        <w:tc>
          <w:tcPr>
            <w:tcW w:w="2394" w:type="dxa"/>
          </w:tcPr>
          <w:p w:rsidR="00FB7C7A" w:rsidRDefault="00FB7C7A"/>
        </w:tc>
        <w:tc>
          <w:tcPr>
            <w:tcW w:w="2394" w:type="dxa"/>
          </w:tcPr>
          <w:p w:rsidR="00FB7C7A" w:rsidRDefault="00FB7C7A"/>
        </w:tc>
      </w:tr>
      <w:tr w:rsidR="00FB7C7A" w:rsidTr="00684DC1">
        <w:tc>
          <w:tcPr>
            <w:tcW w:w="2394" w:type="dxa"/>
          </w:tcPr>
          <w:p w:rsidR="00FB7C7A" w:rsidRDefault="00FB7C7A" w:rsidP="00FB7C7A">
            <w:pPr>
              <w:pStyle w:val="Heading3"/>
              <w:outlineLvl w:val="2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Support their attempts to rethink and reconstruct their ideas and views</w:t>
            </w:r>
          </w:p>
        </w:tc>
        <w:tc>
          <w:tcPr>
            <w:tcW w:w="2394" w:type="dxa"/>
          </w:tcPr>
          <w:p w:rsidR="00FB7C7A" w:rsidRDefault="00FB7C7A"/>
        </w:tc>
        <w:tc>
          <w:tcPr>
            <w:tcW w:w="2394" w:type="dxa"/>
          </w:tcPr>
          <w:p w:rsidR="00FB7C7A" w:rsidRDefault="00FB7C7A"/>
        </w:tc>
      </w:tr>
      <w:tr w:rsidR="001C6000" w:rsidTr="00684DC1">
        <w:tc>
          <w:tcPr>
            <w:tcW w:w="2394" w:type="dxa"/>
          </w:tcPr>
          <w:p w:rsidR="001C6000" w:rsidRDefault="001C6000" w:rsidP="00FB7C7A">
            <w:pPr>
              <w:pStyle w:val="Heading3"/>
              <w:outlineLvl w:val="2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394" w:type="dxa"/>
          </w:tcPr>
          <w:p w:rsidR="001C6000" w:rsidRDefault="001C6000"/>
        </w:tc>
        <w:tc>
          <w:tcPr>
            <w:tcW w:w="2394" w:type="dxa"/>
          </w:tcPr>
          <w:p w:rsidR="001C6000" w:rsidRDefault="001C6000"/>
        </w:tc>
      </w:tr>
    </w:tbl>
    <w:p w:rsidR="00684DC1" w:rsidRDefault="00684DC1"/>
    <w:sectPr w:rsidR="00684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C1"/>
    <w:rsid w:val="000C065C"/>
    <w:rsid w:val="000F667D"/>
    <w:rsid w:val="001C6000"/>
    <w:rsid w:val="0040526E"/>
    <w:rsid w:val="0056562A"/>
    <w:rsid w:val="00684DC1"/>
    <w:rsid w:val="00CB57C3"/>
    <w:rsid w:val="00FB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667D"/>
    <w:pPr>
      <w:keepNext/>
      <w:keepLines/>
      <w:spacing w:before="200" w:line="240" w:lineRule="auto"/>
      <w:outlineLvl w:val="1"/>
    </w:pPr>
    <w:rPr>
      <w:rFonts w:ascii="Bradley Hand ITC" w:hAnsi="Bradley Hand ITC" w:cstheme="majorBidi"/>
      <w:b/>
      <w:bCs/>
      <w:color w:val="17365D" w:themeColor="text2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C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667D"/>
    <w:rPr>
      <w:rFonts w:ascii="Bradley Hand ITC" w:hAnsi="Bradley Hand ITC" w:cstheme="majorBidi"/>
      <w:b/>
      <w:bCs/>
      <w:color w:val="17365D" w:themeColor="text2" w:themeShade="BF"/>
      <w:sz w:val="32"/>
      <w:szCs w:val="26"/>
    </w:rPr>
  </w:style>
  <w:style w:type="table" w:styleId="TableGrid">
    <w:name w:val="Table Grid"/>
    <w:basedOn w:val="TableNormal"/>
    <w:uiPriority w:val="59"/>
    <w:rsid w:val="00684D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684D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4D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FB7C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667D"/>
    <w:pPr>
      <w:keepNext/>
      <w:keepLines/>
      <w:spacing w:before="200" w:line="240" w:lineRule="auto"/>
      <w:outlineLvl w:val="1"/>
    </w:pPr>
    <w:rPr>
      <w:rFonts w:ascii="Bradley Hand ITC" w:hAnsi="Bradley Hand ITC" w:cstheme="majorBidi"/>
      <w:b/>
      <w:bCs/>
      <w:color w:val="17365D" w:themeColor="text2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C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667D"/>
    <w:rPr>
      <w:rFonts w:ascii="Bradley Hand ITC" w:hAnsi="Bradley Hand ITC" w:cstheme="majorBidi"/>
      <w:b/>
      <w:bCs/>
      <w:color w:val="17365D" w:themeColor="text2" w:themeShade="BF"/>
      <w:sz w:val="32"/>
      <w:szCs w:val="26"/>
    </w:rPr>
  </w:style>
  <w:style w:type="table" w:styleId="TableGrid">
    <w:name w:val="Table Grid"/>
    <w:basedOn w:val="TableNormal"/>
    <w:uiPriority w:val="59"/>
    <w:rsid w:val="00684D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684D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4D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FB7C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Donohue</dc:creator>
  <cp:lastModifiedBy>Linda Donohue</cp:lastModifiedBy>
  <cp:revision>3</cp:revision>
  <dcterms:created xsi:type="dcterms:W3CDTF">2014-03-30T13:20:00Z</dcterms:created>
  <dcterms:modified xsi:type="dcterms:W3CDTF">2014-03-31T21:03:00Z</dcterms:modified>
</cp:coreProperties>
</file>