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rtl w:val="0"/>
        </w:rPr>
        <w:t xml:space="preserve">Some Histories of Comic Books</w:t>
      </w:r>
    </w:p>
    <w:p w:rsidR="00000000" w:rsidDel="00000000" w:rsidP="00000000" w:rsidRDefault="00000000" w:rsidRPr="00000000">
      <w:pPr>
        <w:contextualSpacing w:val="0"/>
      </w:pPr>
      <w:r w:rsidDel="00000000" w:rsidR="00000000" w:rsidRPr="00000000">
        <w:rPr>
          <w:b w:val="1"/>
          <w:sz w:val="28"/>
          <w:szCs w:val="28"/>
          <w:rtl w:val="0"/>
        </w:rPr>
        <w:t xml:space="preserve">Randy Ray</w:t>
      </w:r>
    </w:p>
    <w:p w:rsidR="00000000" w:rsidDel="00000000" w:rsidP="00000000" w:rsidRDefault="00000000" w:rsidRPr="00000000">
      <w:pPr>
        <w:contextualSpacing w:val="0"/>
      </w:pPr>
      <w:r w:rsidDel="00000000" w:rsidR="00000000" w:rsidRPr="00000000">
        <w:rPr>
          <w:b w:val="1"/>
          <w:sz w:val="28"/>
          <w:szCs w:val="28"/>
          <w:rtl w:val="0"/>
        </w:rPr>
        <w:t xml:space="preserve">ETEC 540</w:t>
      </w:r>
    </w:p>
    <w:p w:rsidR="00000000" w:rsidDel="00000000" w:rsidP="00000000" w:rsidRDefault="00000000" w:rsidRPr="00000000">
      <w:pPr>
        <w:contextualSpacing w:val="0"/>
      </w:pPr>
      <w:r w:rsidDel="00000000" w:rsidR="00000000" w:rsidRPr="00000000">
        <w:rPr>
          <w:b w:val="1"/>
          <w:sz w:val="28"/>
          <w:szCs w:val="28"/>
          <w:rtl w:val="0"/>
        </w:rPr>
        <w:t xml:space="preserve">Nov. 2,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u w:val="single"/>
          <w:rtl w:val="0"/>
        </w:rPr>
        <w:t xml:space="preserve">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Lengthy books on the history and theory of comics have shown me that this short video cannot possibly claim to cover everything. Included here are comic book cultures that have been most successful commercially, those with the greatest cultural influence, and the ones that I have personally been exposed to, which for the most part intersect with the first two categories. As such, we’ll be looking at American comics and the emergence of the superhero, Japanese manga, Franco-Belgian Bande Déssinée, and the Amar Chitra Katha comic series from India. Among these disparate cultures, a recurring theme will be the struggle for legitimacy; are comic books low art for the masses, or high art comparable to the most respected art and literature? But before we start that, we’ll take a brief look at the conventions of comic books and how they communicate with readers.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u w:val="single"/>
          <w:rtl w:val="0"/>
        </w:rPr>
        <w:t xml:space="preserve">Theory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“Meaning is produced out of the relationships, both linear and non-linear, between panels” (Miller, 2008, p. 82).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“The order in which one perceives the various textual and pictorial elements of a single panel -- not to mention a series of panels -- depends on eye movement. Interestingly, eye movement in a panel is determined by both the left-to-right, top-to-bottom conventions of reading and by the freer patterns associated with the contemplation of pictures” (Abbott (1986) as cited by McLain, 2008, p. 303)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Anne Miller (2008) cites Fresnault-Deruelle (1976) as describing part of the appeal of the comic being the tension between 3 dimensional “scenographic cubes” and the 2 dimensional page. She also mentions Groensteen’s theory which asserts that certain panels have more narrative significance that others, for example the bottom right corner, which adds a level of suspense because the reader can’t see the next panel. McLain cites Barry (1997) in the way the depiction of the images affects the narrative; for example the importance of the facial expression of characters.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There are five types of text in comics, enumerated here in order of least to most integrated into the story. The Peritext is the title, used on the cover page, and perhaps the leaf. It is usually in typeset characters, but is not in this example. 2 is the recitatif, or narrative voice. 3A, 3B and 3C are all dialogue boxes, each with its own function. Generally, the bigger a dialogue box, the louder it is. 4 is an onomatopoeic sound effect that is as much a part of the picture as it is text. 5th, the most integrated, is text that occurs from within the fictional world, in this example the Google text on the computer.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u w:val="single"/>
          <w:rtl w:val="0"/>
        </w:rPr>
        <w:t xml:space="preserve">Early History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There’s a bit of a dispute among comic book historians about whether the father of modern comics was </w:t>
      </w:r>
      <w:r w:rsidDel="00000000" w:rsidR="00000000" w:rsidRPr="00000000">
        <w:rPr>
          <w:rFonts w:ascii="Verdana" w:cs="Verdana" w:eastAsia="Verdana" w:hAnsi="Verdana"/>
          <w:color w:val="252525"/>
          <w:sz w:val="24"/>
          <w:szCs w:val="24"/>
          <w:highlight w:val="white"/>
          <w:rtl w:val="0"/>
        </w:rPr>
        <w:t xml:space="preserve">Rodolphe Töpffer of Switzerland with </w:t>
      </w:r>
      <w:r w:rsidDel="00000000" w:rsidR="00000000" w:rsidRPr="00000000">
        <w:rPr>
          <w:rFonts w:ascii="Verdana" w:cs="Verdana" w:eastAsia="Verdana" w:hAnsi="Verdana"/>
          <w:i w:val="1"/>
          <w:color w:val="252525"/>
          <w:sz w:val="24"/>
          <w:szCs w:val="24"/>
          <w:highlight w:val="white"/>
          <w:rtl w:val="0"/>
        </w:rPr>
        <w:t xml:space="preserve">Histoire de Monsieur Vieux Bois</w:t>
      </w:r>
      <w:r w:rsidDel="00000000" w:rsidR="00000000" w:rsidRPr="00000000">
        <w:rPr>
          <w:rFonts w:ascii="Verdana" w:cs="Verdana" w:eastAsia="Verdana" w:hAnsi="Verdana"/>
          <w:color w:val="252525"/>
          <w:sz w:val="24"/>
          <w:szCs w:val="24"/>
          <w:highlight w:val="white"/>
          <w:rtl w:val="0"/>
        </w:rPr>
        <w:t xml:space="preserve"> in 1827 or Richard Oucault, an American who created </w:t>
      </w:r>
      <w:r w:rsidDel="00000000" w:rsidR="00000000" w:rsidRPr="00000000">
        <w:rPr>
          <w:rFonts w:ascii="Verdana" w:cs="Verdana" w:eastAsia="Verdana" w:hAnsi="Verdana"/>
          <w:i w:val="1"/>
          <w:color w:val="252525"/>
          <w:sz w:val="24"/>
          <w:szCs w:val="24"/>
          <w:highlight w:val="white"/>
          <w:rtl w:val="0"/>
        </w:rPr>
        <w:t xml:space="preserve">The Yellow Kid and his new Phonograph </w:t>
      </w:r>
      <w:r w:rsidDel="00000000" w:rsidR="00000000" w:rsidRPr="00000000">
        <w:rPr>
          <w:rFonts w:ascii="Verdana" w:cs="Verdana" w:eastAsia="Verdana" w:hAnsi="Verdana"/>
          <w:color w:val="252525"/>
          <w:sz w:val="24"/>
          <w:szCs w:val="24"/>
          <w:highlight w:val="white"/>
          <w:rtl w:val="0"/>
        </w:rPr>
        <w:t xml:space="preserve">in 1896. Töpffer created the panel-to-panel narrative structure of the modern comic book with captions below while Oucault is credited with inventing the speech bubble. Of course, there are earlier works, like the engravings of William Hogarth starting in the 1730s, early forms of manga like this image dating back to the 1200s, comic-like depictions of Hindu gods and goddesses, like this one from around 1770, and European religious works dating back to the middle ages that incorporated text with image.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u w:val="single"/>
          <w:rtl w:val="0"/>
        </w:rPr>
        <w:t xml:space="preserve">American Comics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The aforementioned Yellow Kid or Hogan’s Alley (it started without a name) depicted slum life in NYC and appeared in newspapers. When it did well, newspaper publishers all over the United States recognized the potential for comics to increase sales, and comic strips caught on around the nation. Pulp magazines became popular around the same time as newspaper comics, and eventually the two gave birth to the comic book.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The Famous Funnies started up in 1929 and “Detective Comics” soon followed. These were crime stories featuring mortal men with supernatural abilities. Action Comics #1, featuring Superman, came out in 1938 and that changed everything. Drawn in Cleveland by Toronto-born Joe Shuster and written by his partner, Jerry Siegel, it had been rejected by several newspapers when they tried Superman as a comic strip. Eventually they were paid $10 per page and sold their rights to Detective comics for $65 each. The era starting with Superman is known as the Golden Age. The stories were usually about common people as victims to those in power, with the Superheroes leveling the playing field.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Soon other comic book companies like Marvel sprang up, and while teens were still the main audience, the genre diversified to include romance comics to attract female readers. There was also Wonder Woman, created in 1941 by William Moulton Marston who declared her to be “psychological propaganda for the new type of woman, who, I believe, should rule the world” (Greenhouse, 2015, p. 36). Marston’s private life, living polyamorously with three women, is a fascinating side story in the history of comics. Scholars like Emily Greenhouse and Jill Lepore question Wonder Woman’s place in feminist history given Marston’s personal story.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During World War II, American comics took up the cause of patriotism by having superheroes fighting against German and Japanese bad guys. Canadian comics flourished as well during this time, due to “War Exchange Conservation Act” which disallowed the import of “non-essential goods” like comic books from the United States. This allowed for superheroes like Nelvana of the Northern Lights, a female superhero who actually predates Wonder Woman.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Back in the States, the comic book genre soon found enemies among the elite or traditionalists. Much crusade against rock, rap and video games, Dr. Frederic Wortham led a movement to censor comic books just after World War II. Horror and crime comics rose in popularity during this latter stage of the Golden age because superheroes no longer had the war to provide them with enemies. Concern from parents, churches and government also rose.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“For adherents of the genteel tradition, illustrated magazines and comics were symptomatic of much that was going wrong in the contemporary world: the newfound preference for visual stimulations rather than time-honored literary values; the growing strength of disorderly immigrant cultures in the United States which threatened to overturn Anglo-Saxon supremacy; the increasing acceptance of roughhouse slang which endangered norms of proper grammar and refined diction” (Heer and Worcester, 2004, p.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Wortham found a correlation between these especially violent comic books and youth delinquency, so he wrote two papers which turned much of the public against comic books. This led to a new Association of comic book publishers establishing a code. They came up with a seal of approval for comic books considered to be within the parameters of good taste. This regulation, an over-saturated comic book market, and the rise of television all contributed to the end of the Golden Age and a relegation of American comic books from the mainstream to the underground.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u w:val="single"/>
          <w:rtl w:val="0"/>
        </w:rPr>
        <w:t xml:space="preserve">Manga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udex" w:cs="Caudex" w:eastAsia="Caudex" w:hAnsi="Caudex"/>
          <w:color w:val="252525"/>
          <w:sz w:val="24"/>
          <w:szCs w:val="24"/>
          <w:highlight w:val="white"/>
          <w:rtl w:val="0"/>
        </w:rPr>
        <w:t xml:space="preserve">In Japan, manga has long been mainstream. Manga is usually black and white, more image than text, and are mostly considered disposable rather than collectable. Like the Japanese language, they’re read right to left. Manga comprises about ⅓ of all publishing output and revenue in Japan and covers almost every conceivable subject matter.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“A typical manga reader takes just 3.75 seconds to read a single page”</w:t>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Tessa Morris-Suzuki (as cited by Dennis, 2011, p. 34)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The earliest roots of manga go back to handscrolls that combined text and images called Emakimono, with this example dating back to the 8th century. In the 1600s a new manga became popular among the merchant classes. They were made with woodblock printing. They culminated in the iconic works of Hokusai, who lived from around 1760 to 1849.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The father of modern manga is Osamu Tezuka, who created Atom Boy and Treasure Island. Highly influenced by Fritz Lang’s Metropolis and by Walt Disney, Tezuka considered manga to be a merging of Japanese and Western culture. Having written more than 150 000 pages, Tezuka is a huge figure in Japanese culture.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Mark Dennis analysed manga versions of ancient Buddhist texts (namely the story of Prince Shotoku in the Sangyo-Gisho). He talks about manga as key to making these works accessible to a modern public, and readers shaping their identity as Japanese Buddhists through them.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While the original buddhist texts “offer barriers to entry -- temporal, monetary, linguistic, and educational” and are “frequently written in complicated academic prose that freely incorporates classical Japanese and Chinese as well as technical Buddhist terms”, “manga offer a particularly illuminating contrast because they represent in many ways the antithesis of these scholarly studies since they are inexpensive, readily available, and popular” (Dennis, 2011, p. 34).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u w:val="single"/>
          <w:rtl w:val="0"/>
        </w:rPr>
        <w:t xml:space="preserve">Bande Déssinée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Considered to be the 9th art in France (the first is architecture, then sculpture, painting, music, etc.), bande déssinée has long been taken more serious than comic books have in the U.S. In fact, arguments for the legitimacy of the medium goes all the way back to Töpffer, who wrote in his “</w:t>
      </w:r>
      <w:r w:rsidDel="00000000" w:rsidR="00000000" w:rsidRPr="00000000">
        <w:rPr>
          <w:rFonts w:ascii="Verdana" w:cs="Verdana" w:eastAsia="Verdana" w:hAnsi="Verdana"/>
          <w:i w:val="1"/>
          <w:color w:val="333333"/>
          <w:sz w:val="24"/>
          <w:szCs w:val="24"/>
          <w:highlight w:val="white"/>
          <w:rtl w:val="0"/>
        </w:rPr>
        <w:t xml:space="preserve">Essai de physiognomonie</w:t>
      </w:r>
      <w:r w:rsidDel="00000000" w:rsidR="00000000" w:rsidRPr="00000000">
        <w:rPr>
          <w:rFonts w:ascii="Verdana" w:cs="Verdana" w:eastAsia="Verdana" w:hAnsi="Verdana"/>
          <w:color w:val="333333"/>
          <w:sz w:val="24"/>
          <w:szCs w:val="24"/>
          <w:highlight w:val="white"/>
          <w:rtl w:val="0"/>
        </w:rPr>
        <w:t xml:space="preserve">”, </w:t>
      </w:r>
      <w:r w:rsidDel="00000000" w:rsidR="00000000" w:rsidRPr="00000000">
        <w:rPr>
          <w:rFonts w:ascii="Verdana" w:cs="Verdana" w:eastAsia="Verdana" w:hAnsi="Verdana"/>
          <w:color w:val="252525"/>
          <w:sz w:val="24"/>
          <w:szCs w:val="24"/>
          <w:highlight w:val="white"/>
          <w:rtl w:val="0"/>
        </w:rPr>
        <w:t xml:space="preserve">“You can write stories with chapters, lines and words: it is literature in the proper sense. You can write stories with a succession of graphically represented scenes, it is literature in stamps”.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highlight w:val="white"/>
          <w:rtl w:val="0"/>
        </w:rPr>
        <w:t xml:space="preserve">" L’on peut écrire des histoires avec des chapitres, des lignes, des mots : c’est de la littérature proprement dite. L’on peut écrire des histoires avec des successions de scènes représentées graphiquement : c’est de la littérature en estampes ". (</w:t>
      </w:r>
      <w:r w:rsidDel="00000000" w:rsidR="00000000" w:rsidRPr="00000000">
        <w:rPr>
          <w:rFonts w:ascii="Verdana" w:cs="Verdana" w:eastAsia="Verdana" w:hAnsi="Verdana"/>
          <w:color w:val="252525"/>
          <w:sz w:val="24"/>
          <w:szCs w:val="24"/>
          <w:highlight w:val="white"/>
          <w:rtl w:val="0"/>
        </w:rPr>
        <w:t xml:space="preserve">Töpffer (1845) as cited by Groensteen, 1998).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In France, imported comics from America during the Golden Age were very popular, so like manga, bande désinnée is considered to be a hybrid of homegrown and American culture. Hergé’s Tintin began in 1929 in a Catholic newspaper in Brussels, and though early work was fraught with anti-Semitism and horribly racist depictions of Africans (like in Tintin au Congo from 1930), Tintin grew through many phases into a more sophisticated product, eventually aimed more at adults than children. A great contribution was ligne claire, a graphic style pioneered by Hergé.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“The graphic style which eschews shading, gradation of colours and hatching in favour of clear outlines, flat colours and geometrical precision. It also implies narrative legibility” (Miller, 2007, p. 18).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After the war and into the classical period of bande désinnée, there were two primary schools. L’école de Bruxelles included Hergé, Paul Cuvelier, Jaques Martin, and Willy Vandersteen. L’école de Charleroi included André Franquin, Jijé and Peyo, the creator of the Smurfs.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René Goscinny, Albert Uderzo created </w:t>
      </w:r>
      <w:r w:rsidDel="00000000" w:rsidR="00000000" w:rsidRPr="00000000">
        <w:rPr>
          <w:rFonts w:ascii="Verdana" w:cs="Verdana" w:eastAsia="Verdana" w:hAnsi="Verdana"/>
          <w:i w:val="1"/>
          <w:color w:val="252525"/>
          <w:sz w:val="24"/>
          <w:szCs w:val="24"/>
          <w:highlight w:val="white"/>
          <w:rtl w:val="0"/>
        </w:rPr>
        <w:t xml:space="preserve">Astérix and Obélix </w:t>
      </w:r>
      <w:r w:rsidDel="00000000" w:rsidR="00000000" w:rsidRPr="00000000">
        <w:rPr>
          <w:rFonts w:ascii="Verdana" w:cs="Verdana" w:eastAsia="Verdana" w:hAnsi="Verdana"/>
          <w:color w:val="252525"/>
          <w:sz w:val="24"/>
          <w:szCs w:val="24"/>
          <w:highlight w:val="white"/>
          <w:rtl w:val="0"/>
        </w:rPr>
        <w:t xml:space="preserve">Pilote magazine in 1959</w:t>
      </w:r>
      <w:r w:rsidDel="00000000" w:rsidR="00000000" w:rsidRPr="00000000">
        <w:rPr>
          <w:rFonts w:ascii="Verdana" w:cs="Verdana" w:eastAsia="Verdana" w:hAnsi="Verdana"/>
          <w:color w:val="252525"/>
          <w:sz w:val="24"/>
          <w:szCs w:val="24"/>
          <w:highlight w:val="white"/>
          <w:rtl w:val="0"/>
        </w:rPr>
        <w:t xml:space="preserve">. After Astérix appeared on the cover of L’Express in 1966, </w:t>
      </w:r>
      <w:r w:rsidDel="00000000" w:rsidR="00000000" w:rsidRPr="00000000">
        <w:rPr>
          <w:rFonts w:ascii="Verdana" w:cs="Verdana" w:eastAsia="Verdana" w:hAnsi="Verdana"/>
          <w:i w:val="1"/>
          <w:color w:val="252525"/>
          <w:sz w:val="24"/>
          <w:szCs w:val="24"/>
          <w:highlight w:val="white"/>
          <w:rtl w:val="0"/>
        </w:rPr>
        <w:t xml:space="preserve">Astérix chez le Bretons</w:t>
      </w:r>
      <w:r w:rsidDel="00000000" w:rsidR="00000000" w:rsidRPr="00000000">
        <w:rPr>
          <w:rFonts w:ascii="Verdana" w:cs="Verdana" w:eastAsia="Verdana" w:hAnsi="Verdana"/>
          <w:color w:val="252525"/>
          <w:sz w:val="24"/>
          <w:szCs w:val="24"/>
          <w:highlight w:val="white"/>
          <w:rtl w:val="0"/>
        </w:rPr>
        <w:t xml:space="preserve"> sold 600 000 copies within two weeks of its release. By the late 60s we see a great self-awareness emerging in bande déssinée and a blurring of lines between the real world and the fictional one, as seen in this image from Achille Talon by Greg.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Achille Talon “gradually abandoned his suburban villa to take on the profession of full-time bande déssinée character” (Miller, p. 22)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But even in France, the art form had its detractors.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“‘Its grammatical mistakes pose just as great a danger as the ugliness of the pictures and the stupidity of the text’ (Roux 1970: 62)” (Miller, p. 24).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Finally, it is worth mentioning that </w:t>
      </w:r>
      <w:r w:rsidDel="00000000" w:rsidR="00000000" w:rsidRPr="00000000">
        <w:rPr>
          <w:rFonts w:ascii="Verdana" w:cs="Verdana" w:eastAsia="Verdana" w:hAnsi="Verdana"/>
          <w:i w:val="1"/>
          <w:color w:val="252525"/>
          <w:sz w:val="24"/>
          <w:szCs w:val="24"/>
          <w:highlight w:val="white"/>
          <w:rtl w:val="0"/>
        </w:rPr>
        <w:t xml:space="preserve">Charlie Mensuel</w:t>
      </w:r>
      <w:r w:rsidDel="00000000" w:rsidR="00000000" w:rsidRPr="00000000">
        <w:rPr>
          <w:rFonts w:ascii="Verdana" w:cs="Verdana" w:eastAsia="Verdana" w:hAnsi="Verdana"/>
          <w:color w:val="252525"/>
          <w:sz w:val="24"/>
          <w:szCs w:val="24"/>
          <w:highlight w:val="white"/>
          <w:rtl w:val="0"/>
        </w:rPr>
        <w:t xml:space="preserve"> which eventually became </w:t>
      </w:r>
      <w:r w:rsidDel="00000000" w:rsidR="00000000" w:rsidRPr="00000000">
        <w:rPr>
          <w:rFonts w:ascii="Verdana" w:cs="Verdana" w:eastAsia="Verdana" w:hAnsi="Verdana"/>
          <w:i w:val="1"/>
          <w:color w:val="252525"/>
          <w:sz w:val="24"/>
          <w:szCs w:val="24"/>
          <w:highlight w:val="white"/>
          <w:rtl w:val="0"/>
        </w:rPr>
        <w:t xml:space="preserve">Charlie Hebdo</w:t>
      </w:r>
      <w:r w:rsidDel="00000000" w:rsidR="00000000" w:rsidRPr="00000000">
        <w:rPr>
          <w:rFonts w:ascii="Verdana" w:cs="Verdana" w:eastAsia="Verdana" w:hAnsi="Verdana"/>
          <w:color w:val="252525"/>
          <w:sz w:val="24"/>
          <w:szCs w:val="24"/>
          <w:highlight w:val="white"/>
          <w:rtl w:val="0"/>
        </w:rPr>
        <w:t xml:space="preserve"> grew out of this period of Bande Déssinée. It is clear from the massive outpouring of support that we saw in the news after the shootings last January, that the irreverence displayed by their brand of bande déssinée has become an entrenched part of French culture.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“The government used heavy-handed censorship tactics to try to stifle the anarchic and provocative content of the magazine” (Miller, p. 22).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u w:val="single"/>
          <w:rtl w:val="0"/>
        </w:rPr>
        <w:t xml:space="preserve">Amar Chitra Katha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Amar Chitra Katha comics informed me about the history and culture of a place that was in my blood but on the other side of the earth from where I grew up. Karline McLain affirms that I was not the only child of Indian descent living abroad who learned about India through these comic books.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“To date, </w:t>
      </w:r>
      <w:r w:rsidDel="00000000" w:rsidR="00000000" w:rsidRPr="00000000">
        <w:rPr>
          <w:rFonts w:ascii="Verdana" w:cs="Verdana" w:eastAsia="Verdana" w:hAnsi="Verdana"/>
          <w:i w:val="1"/>
          <w:color w:val="252525"/>
          <w:sz w:val="24"/>
          <w:szCs w:val="24"/>
          <w:highlight w:val="white"/>
          <w:rtl w:val="0"/>
        </w:rPr>
        <w:t xml:space="preserve">Amar Chitra Katha</w:t>
      </w:r>
      <w:r w:rsidDel="00000000" w:rsidR="00000000" w:rsidRPr="00000000">
        <w:rPr>
          <w:rFonts w:ascii="Verdana" w:cs="Verdana" w:eastAsia="Verdana" w:hAnsi="Verdana"/>
          <w:color w:val="252525"/>
          <w:sz w:val="24"/>
          <w:szCs w:val="24"/>
          <w:highlight w:val="white"/>
          <w:rtl w:val="0"/>
        </w:rPr>
        <w:t xml:space="preserve"> boasts over 440 titles and sales of more than 90 million issues, and has reached an audience of several generations of Indians within the Indian subcontinent and around the world. The majority of these readers have been English-speaking, middle-class, upper-caste Hindu boys and girls. For this substantial segment of the Indian population from the late 1960s to today -- a segment easily numbering in the tens of millions -- these comics have been incredibly important to the formation of their identities as Indians and as Hindus. (McLain, 2011, p. 599).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ACK was the brainchild of Anant Pai (1929-2011). While working at the Times of India, he reprinted American comics like </w:t>
      </w:r>
      <w:r w:rsidDel="00000000" w:rsidR="00000000" w:rsidRPr="00000000">
        <w:rPr>
          <w:rFonts w:ascii="Verdana" w:cs="Verdana" w:eastAsia="Verdana" w:hAnsi="Verdana"/>
          <w:i w:val="1"/>
          <w:color w:val="252525"/>
          <w:sz w:val="24"/>
          <w:szCs w:val="24"/>
          <w:highlight w:val="white"/>
          <w:rtl w:val="0"/>
        </w:rPr>
        <w:t xml:space="preserve">Tarzan, The Phantom</w:t>
      </w:r>
      <w:r w:rsidDel="00000000" w:rsidR="00000000" w:rsidRPr="00000000">
        <w:rPr>
          <w:rFonts w:ascii="Verdana" w:cs="Verdana" w:eastAsia="Verdana" w:hAnsi="Verdana"/>
          <w:color w:val="252525"/>
          <w:sz w:val="24"/>
          <w:szCs w:val="24"/>
          <w:highlight w:val="white"/>
          <w:rtl w:val="0"/>
        </w:rPr>
        <w:t xml:space="preserve"> and </w:t>
      </w:r>
      <w:r w:rsidDel="00000000" w:rsidR="00000000" w:rsidRPr="00000000">
        <w:rPr>
          <w:rFonts w:ascii="Verdana" w:cs="Verdana" w:eastAsia="Verdana" w:hAnsi="Verdana"/>
          <w:i w:val="1"/>
          <w:color w:val="252525"/>
          <w:sz w:val="24"/>
          <w:szCs w:val="24"/>
          <w:highlight w:val="white"/>
          <w:rtl w:val="0"/>
        </w:rPr>
        <w:t xml:space="preserve">Mandrake the Magician</w:t>
      </w:r>
      <w:r w:rsidDel="00000000" w:rsidR="00000000" w:rsidRPr="00000000">
        <w:rPr>
          <w:rFonts w:ascii="Verdana" w:cs="Verdana" w:eastAsia="Verdana" w:hAnsi="Verdana"/>
          <w:color w:val="252525"/>
          <w:sz w:val="24"/>
          <w:szCs w:val="24"/>
          <w:highlight w:val="white"/>
          <w:rtl w:val="0"/>
        </w:rPr>
        <w:t xml:space="preserve"> in the early to mid sixties but started dreaming about a homegrown comic industry. He felt that while Indian kids in English medium schools were learning about Greek mythology, they were lacking stories about Indian history and mythology, and as a result becoming too “westernized” (McLain, 2008, p. 298). So, like Tezuka in Japan and the early schools of Bande Déssinée, Pai married this largely American medium with traditional stylization. For Pai, this was particularly true in the depiction of Hindu gods. In 1967, ACK was born, and published its first Hindu-themed comic, Krishna, in 1969.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India is a nation of incredible diversity in terms of language, culture and religion, though it is about 80% Hindu. While ACK did publish comics featuring other religions like the Sikh, Muslim and Buddhist comics shown here and claimed to represent all Indians, McLain and other scholars she cites such as Frances Pritchett and John Stratton Hawley beg to differ. Hawley is cited by McLain for his assertion back in 1995 that “readers of </w:t>
      </w:r>
      <w:r w:rsidDel="00000000" w:rsidR="00000000" w:rsidRPr="00000000">
        <w:rPr>
          <w:rFonts w:ascii="Verdana" w:cs="Verdana" w:eastAsia="Verdana" w:hAnsi="Verdana"/>
          <w:i w:val="1"/>
          <w:color w:val="252525"/>
          <w:sz w:val="24"/>
          <w:szCs w:val="24"/>
          <w:highlight w:val="white"/>
          <w:rtl w:val="0"/>
        </w:rPr>
        <w:t xml:space="preserve">Amar Chitra Katha</w:t>
      </w:r>
      <w:r w:rsidDel="00000000" w:rsidR="00000000" w:rsidRPr="00000000">
        <w:rPr>
          <w:rFonts w:ascii="Verdana" w:cs="Verdana" w:eastAsia="Verdana" w:hAnsi="Verdana"/>
          <w:color w:val="252525"/>
          <w:sz w:val="24"/>
          <w:szCs w:val="24"/>
          <w:highlight w:val="white"/>
          <w:rtl w:val="0"/>
        </w:rPr>
        <w:t xml:space="preserve"> are not likely to be able to disentangle Hinduness from Indianness with any ease” (McLain, 2008, p. 600). Other scholars such as Nandini Chandra felt that ACK welcomed Sikhs, Jains, Buddhists and Dalits into the “Hindu Family” but purposefully marginalized Muslims.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McLain also cites Aruna Rao in concerns about sexism and caste discrimination in the series and McLain echoed these concerns in her 2008 paper about Tales of Durga. According to McLain, Pai and others around him were uncomfortable with the martial aspect of Durga’s character and sought ways to diminish it, by, among other slights, not introducing her until the 6th page of her own comic.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252525"/>
          <w:sz w:val="24"/>
          <w:szCs w:val="24"/>
          <w:highlight w:val="white"/>
          <w:rtl w:val="0"/>
        </w:rPr>
        <w:t xml:space="preserve">Like comic book artist of other countries, and artists in general, Pai struggled with questions of commercial value vs. staying true to one’s artistic vision, and as this struggle exists, it would follow that comic books are indeed an art form. David Rapp and others in the field of education have also help to legitimize comics with the acknowledgement of their pedagogical value.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u w:val="single"/>
          <w:rtl w:val="0"/>
        </w:rPr>
        <w:t xml:space="preserve">References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Cirella-Urrutia, Anne. (2011). Review of History and Politics in French-Language Comics and Graphic Novels. </w:t>
      </w:r>
      <w:r w:rsidDel="00000000" w:rsidR="00000000" w:rsidRPr="00000000">
        <w:rPr>
          <w:rFonts w:ascii="Verdana" w:cs="Verdana" w:eastAsia="Verdana" w:hAnsi="Verdana"/>
          <w:i w:val="1"/>
          <w:sz w:val="24"/>
          <w:szCs w:val="24"/>
          <w:rtl w:val="0"/>
        </w:rPr>
        <w:t xml:space="preserve">ImageTexT: Interdisciplinary Comics Studies.</w:t>
      </w:r>
      <w:r w:rsidDel="00000000" w:rsidR="00000000" w:rsidRPr="00000000">
        <w:rPr>
          <w:rFonts w:ascii="Verdana" w:cs="Verdana" w:eastAsia="Verdana" w:hAnsi="Verdana"/>
          <w:sz w:val="24"/>
          <w:szCs w:val="24"/>
          <w:rtl w:val="0"/>
        </w:rPr>
        <w:t xml:space="preserve"> 6.1 : pp 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highlight w:val="white"/>
          <w:rtl w:val="0"/>
        </w:rPr>
        <w:t xml:space="preserve">Dennis, M. (2011). Manga as historical medium: depictions of Prince Shotoku's authorship of the Sangyogisho in Japanese comic books. </w:t>
      </w:r>
      <w:r w:rsidDel="00000000" w:rsidR="00000000" w:rsidRPr="00000000">
        <w:rPr>
          <w:rFonts w:ascii="Verdana" w:cs="Verdana" w:eastAsia="Verdana" w:hAnsi="Verdana"/>
          <w:i w:val="1"/>
          <w:color w:val="333333"/>
          <w:sz w:val="24"/>
          <w:szCs w:val="24"/>
          <w:highlight w:val="white"/>
          <w:rtl w:val="0"/>
        </w:rPr>
        <w:t xml:space="preserve">Forum for World Literature Studies</w:t>
      </w:r>
      <w:r w:rsidDel="00000000" w:rsidR="00000000" w:rsidRPr="00000000">
        <w:rPr>
          <w:rFonts w:ascii="Verdana" w:cs="Verdana" w:eastAsia="Verdana" w:hAnsi="Verdana"/>
          <w:color w:val="333333"/>
          <w:sz w:val="24"/>
          <w:szCs w:val="24"/>
          <w:highlight w:val="white"/>
          <w:rtl w:val="0"/>
        </w:rPr>
        <w:t xml:space="preserve">, </w:t>
      </w:r>
      <w:r w:rsidDel="00000000" w:rsidR="00000000" w:rsidRPr="00000000">
        <w:rPr>
          <w:rFonts w:ascii="Verdana" w:cs="Verdana" w:eastAsia="Verdana" w:hAnsi="Verdana"/>
          <w:i w:val="1"/>
          <w:color w:val="333333"/>
          <w:sz w:val="24"/>
          <w:szCs w:val="24"/>
          <w:highlight w:val="white"/>
          <w:rtl w:val="0"/>
        </w:rPr>
        <w:t xml:space="preserve">3</w:t>
      </w:r>
      <w:r w:rsidDel="00000000" w:rsidR="00000000" w:rsidRPr="00000000">
        <w:rPr>
          <w:rFonts w:ascii="Verdana" w:cs="Verdana" w:eastAsia="Verdana" w:hAnsi="Verdana"/>
          <w:color w:val="333333"/>
          <w:sz w:val="24"/>
          <w:szCs w:val="24"/>
          <w:highlight w:val="white"/>
          <w:rtl w:val="0"/>
        </w:rPr>
        <w:t xml:space="preserve">(1), 25+.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rtl w:val="0"/>
        </w:rPr>
        <w:t xml:space="preserve">Edwardson, R. (2003). The Many Lives of Captain Canuck: Nationalism, Culture, and the Creation of a Canadian Comic Book Superhero. </w:t>
      </w:r>
      <w:r w:rsidDel="00000000" w:rsidR="00000000" w:rsidRPr="00000000">
        <w:rPr>
          <w:rFonts w:ascii="Verdana" w:cs="Verdana" w:eastAsia="Verdana" w:hAnsi="Verdana"/>
          <w:i w:val="1"/>
          <w:color w:val="333333"/>
          <w:sz w:val="24"/>
          <w:szCs w:val="24"/>
          <w:rtl w:val="0"/>
        </w:rPr>
        <w:t xml:space="preserve">Journal Of Popular Culture</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i w:val="1"/>
          <w:color w:val="333333"/>
          <w:sz w:val="24"/>
          <w:szCs w:val="24"/>
          <w:rtl w:val="0"/>
        </w:rPr>
        <w:t xml:space="preserve">37</w:t>
      </w:r>
      <w:r w:rsidDel="00000000" w:rsidR="00000000" w:rsidRPr="00000000">
        <w:rPr>
          <w:rFonts w:ascii="Verdana" w:cs="Verdana" w:eastAsia="Verdana" w:hAnsi="Verdana"/>
          <w:color w:val="333333"/>
          <w:sz w:val="24"/>
          <w:szCs w:val="24"/>
          <w:rtl w:val="0"/>
        </w:rPr>
        <w:t xml:space="preserve">(2), 184-201. doi:10.1111/1540-5931.00063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rtl w:val="0"/>
        </w:rPr>
        <w:t xml:space="preserve">Gaouette, N. (1999, January 8). Get your manga here. </w:t>
      </w:r>
      <w:r w:rsidDel="00000000" w:rsidR="00000000" w:rsidRPr="00000000">
        <w:rPr>
          <w:rFonts w:ascii="Verdana" w:cs="Verdana" w:eastAsia="Verdana" w:hAnsi="Verdana"/>
          <w:i w:val="1"/>
          <w:color w:val="333333"/>
          <w:sz w:val="24"/>
          <w:szCs w:val="24"/>
          <w:rtl w:val="0"/>
        </w:rPr>
        <w:t xml:space="preserve">Christian Science Monitor</w:t>
      </w:r>
      <w:r w:rsidDel="00000000" w:rsidR="00000000" w:rsidRPr="00000000">
        <w:rPr>
          <w:rFonts w:ascii="Verdana" w:cs="Verdana" w:eastAsia="Verdana" w:hAnsi="Verdana"/>
          <w:color w:val="333333"/>
          <w:sz w:val="24"/>
          <w:szCs w:val="24"/>
          <w:rtl w:val="0"/>
        </w:rPr>
        <w:t xml:space="preserve">. p. 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rtl w:val="0"/>
        </w:rPr>
        <w:t xml:space="preserve">Greenhouse, E. (2015). Far From Liberation. </w:t>
      </w:r>
      <w:r w:rsidDel="00000000" w:rsidR="00000000" w:rsidRPr="00000000">
        <w:rPr>
          <w:rFonts w:ascii="Verdana" w:cs="Verdana" w:eastAsia="Verdana" w:hAnsi="Verdana"/>
          <w:i w:val="1"/>
          <w:color w:val="333333"/>
          <w:sz w:val="24"/>
          <w:szCs w:val="24"/>
          <w:rtl w:val="0"/>
        </w:rPr>
        <w:t xml:space="preserve">Nation</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i w:val="1"/>
          <w:color w:val="333333"/>
          <w:sz w:val="24"/>
          <w:szCs w:val="24"/>
          <w:rtl w:val="0"/>
        </w:rPr>
        <w:t xml:space="preserve">300</w:t>
      </w:r>
      <w:r w:rsidDel="00000000" w:rsidR="00000000" w:rsidRPr="00000000">
        <w:rPr>
          <w:rFonts w:ascii="Verdana" w:cs="Verdana" w:eastAsia="Verdana" w:hAnsi="Verdana"/>
          <w:color w:val="333333"/>
          <w:sz w:val="24"/>
          <w:szCs w:val="24"/>
          <w:rtl w:val="0"/>
        </w:rPr>
        <w:t xml:space="preserve">(23), 35-40.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highlight w:val="white"/>
          <w:rtl w:val="0"/>
        </w:rPr>
        <w:t xml:space="preserve">Groensteen, T. 1998. </w:t>
      </w:r>
      <w:r w:rsidDel="00000000" w:rsidR="00000000" w:rsidRPr="00000000">
        <w:rPr>
          <w:rFonts w:ascii="Verdana" w:cs="Verdana" w:eastAsia="Verdana" w:hAnsi="Verdana"/>
          <w:i w:val="1"/>
          <w:color w:val="333333"/>
          <w:sz w:val="24"/>
          <w:szCs w:val="24"/>
          <w:highlight w:val="white"/>
          <w:rtl w:val="0"/>
        </w:rPr>
        <w:t xml:space="preserve">La bande dessinée, entre production artisanale et diffusion de masse.</w:t>
      </w:r>
      <w:r w:rsidDel="00000000" w:rsidR="00000000" w:rsidRPr="00000000">
        <w:rPr>
          <w:rFonts w:ascii="Verdana" w:cs="Verdana" w:eastAsia="Verdana" w:hAnsi="Verdana"/>
          <w:color w:val="333333"/>
          <w:sz w:val="24"/>
          <w:szCs w:val="24"/>
          <w:highlight w:val="white"/>
          <w:rtl w:val="0"/>
        </w:rPr>
        <w:t xml:space="preserve"> Retrieved from: http://www.editionsdelan2.com/groensteen/spip.php?article8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highlight w:val="white"/>
          <w:rtl w:val="0"/>
        </w:rPr>
        <w:t xml:space="preserve">Heer, J. &amp; Worcester, K.(2004). Arguing Comics: Literary Masters on a Popular Medium. Jackson: University Press of Mississippi. Retrieved October 15, 2015, from Project MUSE database.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rtl w:val="0"/>
        </w:rPr>
        <w:t xml:space="preserve">McLain, K. (2011). The Place of Comics in the Modern Hindu Imagination. </w:t>
      </w:r>
      <w:r w:rsidDel="00000000" w:rsidR="00000000" w:rsidRPr="00000000">
        <w:rPr>
          <w:rFonts w:ascii="Verdana" w:cs="Verdana" w:eastAsia="Verdana" w:hAnsi="Verdana"/>
          <w:i w:val="1"/>
          <w:color w:val="333333"/>
          <w:sz w:val="24"/>
          <w:szCs w:val="24"/>
          <w:rtl w:val="0"/>
        </w:rPr>
        <w:t xml:space="preserve">Religion Compass</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i w:val="1"/>
          <w:color w:val="333333"/>
          <w:sz w:val="24"/>
          <w:szCs w:val="24"/>
          <w:rtl w:val="0"/>
        </w:rPr>
        <w:t xml:space="preserve">5</w:t>
      </w:r>
      <w:r w:rsidDel="00000000" w:rsidR="00000000" w:rsidRPr="00000000">
        <w:rPr>
          <w:rFonts w:ascii="Verdana" w:cs="Verdana" w:eastAsia="Verdana" w:hAnsi="Verdana"/>
          <w:color w:val="333333"/>
          <w:sz w:val="24"/>
          <w:szCs w:val="24"/>
          <w:rtl w:val="0"/>
        </w:rPr>
        <w:t xml:space="preserve">(10), 598-608. doi:10.1111/j.1749-8171.2011.00304.x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rtl w:val="0"/>
        </w:rPr>
        <w:t xml:space="preserve">McLain, K. (2008). Holy Superheroine: A Comic Book Interpretation of the Hindu Devi Māhātmya Scripture. </w:t>
      </w:r>
      <w:r w:rsidDel="00000000" w:rsidR="00000000" w:rsidRPr="00000000">
        <w:rPr>
          <w:rFonts w:ascii="Verdana" w:cs="Verdana" w:eastAsia="Verdana" w:hAnsi="Verdana"/>
          <w:i w:val="1"/>
          <w:color w:val="333333"/>
          <w:sz w:val="24"/>
          <w:szCs w:val="24"/>
          <w:rtl w:val="0"/>
        </w:rPr>
        <w:t xml:space="preserve">Bulletin of the School of Oriental and African Studies, University of London</w:t>
      </w:r>
      <w:r w:rsidDel="00000000" w:rsidR="00000000" w:rsidRPr="00000000">
        <w:rPr>
          <w:rFonts w:ascii="Verdana" w:cs="Verdana" w:eastAsia="Verdana" w:hAnsi="Verdana"/>
          <w:color w:val="333333"/>
          <w:sz w:val="24"/>
          <w:szCs w:val="24"/>
          <w:rtl w:val="0"/>
        </w:rPr>
        <w:t xml:space="preserve">, Vol. 71, No. 2, pp. 297-322. Retrieved from: </w:t>
      </w:r>
      <w:hyperlink r:id="rId5">
        <w:r w:rsidDel="00000000" w:rsidR="00000000" w:rsidRPr="00000000">
          <w:rPr>
            <w:rFonts w:ascii="Verdana" w:cs="Verdana" w:eastAsia="Verdana" w:hAnsi="Verdana"/>
            <w:color w:val="1155cc"/>
            <w:sz w:val="24"/>
            <w:szCs w:val="24"/>
            <w:u w:val="single"/>
            <w:rtl w:val="0"/>
          </w:rPr>
          <w:t xml:space="preserve">http://www.jstor.org/stable/40378772</w:t>
        </w:r>
      </w:hyperlink>
      <w:r w:rsidDel="00000000" w:rsidR="00000000" w:rsidRPr="00000000">
        <w:rPr>
          <w:rFonts w:ascii="Verdana" w:cs="Verdana" w:eastAsia="Verdana" w:hAnsi="Verdana"/>
          <w:color w:val="333333"/>
          <w:sz w:val="24"/>
          <w:szCs w:val="24"/>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highlight w:val="white"/>
          <w:rtl w:val="0"/>
        </w:rPr>
        <w:t xml:space="preserve">Miller, A. (2008). </w:t>
      </w:r>
      <w:r w:rsidDel="00000000" w:rsidR="00000000" w:rsidRPr="00000000">
        <w:rPr>
          <w:rFonts w:ascii="Verdana" w:cs="Verdana" w:eastAsia="Verdana" w:hAnsi="Verdana"/>
          <w:i w:val="1"/>
          <w:color w:val="333333"/>
          <w:sz w:val="24"/>
          <w:szCs w:val="24"/>
          <w:highlight w:val="white"/>
          <w:rtl w:val="0"/>
        </w:rPr>
        <w:t xml:space="preserve">Reading bande dessinee: Critical approaches to french-language comic strip</w:t>
      </w:r>
      <w:r w:rsidDel="00000000" w:rsidR="00000000" w:rsidRPr="00000000">
        <w:rPr>
          <w:rFonts w:ascii="Verdana" w:cs="Verdana" w:eastAsia="Verdana" w:hAnsi="Verdana"/>
          <w:color w:val="333333"/>
          <w:sz w:val="24"/>
          <w:szCs w:val="24"/>
          <w:highlight w:val="white"/>
          <w:rtl w:val="0"/>
        </w:rPr>
        <w:t xml:space="preserve">. Intellect, Limited.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40" w:line="350.99999999999994" w:lineRule="auto"/>
        <w:contextualSpacing w:val="0"/>
      </w:pPr>
      <w:r w:rsidDel="00000000" w:rsidR="00000000" w:rsidRPr="00000000">
        <w:rPr>
          <w:rFonts w:ascii="Verdana" w:cs="Verdana" w:eastAsia="Verdana" w:hAnsi="Verdana"/>
          <w:color w:val="333333"/>
          <w:sz w:val="24"/>
          <w:szCs w:val="24"/>
          <w:highlight w:val="white"/>
          <w:rtl w:val="0"/>
        </w:rPr>
        <w:t xml:space="preserve">Rapp, D. N. (2011). Comic books' latest plot twist: Enhancing literacy instruction.</w:t>
      </w:r>
      <w:r w:rsidDel="00000000" w:rsidR="00000000" w:rsidRPr="00000000">
        <w:rPr>
          <w:rFonts w:ascii="Verdana" w:cs="Verdana" w:eastAsia="Verdana" w:hAnsi="Verdana"/>
          <w:i w:val="1"/>
          <w:color w:val="333333"/>
          <w:sz w:val="24"/>
          <w:szCs w:val="24"/>
          <w:highlight w:val="white"/>
          <w:rtl w:val="0"/>
        </w:rPr>
        <w:t xml:space="preserve"> The Phi Delta Kappan,93</w:t>
      </w:r>
      <w:r w:rsidDel="00000000" w:rsidR="00000000" w:rsidRPr="00000000">
        <w:rPr>
          <w:rFonts w:ascii="Verdana" w:cs="Verdana" w:eastAsia="Verdana" w:hAnsi="Verdana"/>
          <w:color w:val="333333"/>
          <w:sz w:val="24"/>
          <w:szCs w:val="24"/>
          <w:highlight w:val="white"/>
          <w:rtl w:val="0"/>
        </w:rPr>
        <w:t xml:space="preserve">(4), 64-67. doi:10.1177/003172171109300416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highlight w:val="white"/>
          <w:rtl w:val="0"/>
        </w:rPr>
        <w:t xml:space="preserve">Romero-Jódar, A. (2014). Comic Books and American Cultural History: An Anthology.. </w:t>
      </w:r>
      <w:r w:rsidDel="00000000" w:rsidR="00000000" w:rsidRPr="00000000">
        <w:rPr>
          <w:rFonts w:ascii="Verdana" w:cs="Verdana" w:eastAsia="Verdana" w:hAnsi="Verdana"/>
          <w:i w:val="1"/>
          <w:color w:val="333333"/>
          <w:sz w:val="24"/>
          <w:szCs w:val="24"/>
          <w:highlight w:val="white"/>
          <w:rtl w:val="0"/>
        </w:rPr>
        <w:t xml:space="preserve">Miscelánea: A Journal of English and American Studies,</w:t>
      </w:r>
      <w:r w:rsidDel="00000000" w:rsidR="00000000" w:rsidRPr="00000000">
        <w:rPr>
          <w:rFonts w:ascii="Verdana" w:cs="Verdana" w:eastAsia="Verdana" w:hAnsi="Verdana"/>
          <w:color w:val="333333"/>
          <w:sz w:val="24"/>
          <w:szCs w:val="24"/>
          <w:highlight w:val="white"/>
          <w:rtl w:val="0"/>
        </w:rPr>
        <w:t xml:space="preserve"> [S.l.], v. 48. Retrieved from:  &lt;</w:t>
      </w:r>
      <w:hyperlink r:id="rId6">
        <w:r w:rsidDel="00000000" w:rsidR="00000000" w:rsidRPr="00000000">
          <w:rPr>
            <w:rFonts w:ascii="Verdana" w:cs="Verdana" w:eastAsia="Verdana" w:hAnsi="Verdana"/>
            <w:color w:val="808080"/>
            <w:sz w:val="24"/>
            <w:szCs w:val="24"/>
            <w:highlight w:val="white"/>
            <w:u w:val="single"/>
            <w:rtl w:val="0"/>
          </w:rPr>
          <w:t xml:space="preserve">http://www.miscelaneajournal.net/index.php/misc/article/view/205</w:t>
        </w:r>
      </w:hyperlink>
      <w:r w:rsidDel="00000000" w:rsidR="00000000" w:rsidRPr="00000000">
        <w:rPr>
          <w:rFonts w:ascii="Verdana" w:cs="Verdana" w:eastAsia="Verdana" w:hAnsi="Verdana"/>
          <w:color w:val="333333"/>
          <w:sz w:val="24"/>
          <w:szCs w:val="24"/>
          <w:highlight w:val="white"/>
          <w:rtl w:val="0"/>
        </w:rPr>
        <w:t xml:space="preserve">&gt;.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color w:val="333333"/>
          <w:sz w:val="24"/>
          <w:szCs w:val="24"/>
          <w:rtl w:val="0"/>
        </w:rPr>
        <w:t xml:space="preserve">Růžička, J. G. (2008). COMICS A 21st CENTURY MEDIUM THE HISTORY AND PRESENT STATE OF A MEDIUM. </w:t>
      </w:r>
      <w:r w:rsidDel="00000000" w:rsidR="00000000" w:rsidRPr="00000000">
        <w:rPr>
          <w:rFonts w:ascii="Verdana" w:cs="Verdana" w:eastAsia="Verdana" w:hAnsi="Verdana"/>
          <w:i w:val="1"/>
          <w:color w:val="333333"/>
          <w:sz w:val="24"/>
          <w:szCs w:val="24"/>
          <w:rtl w:val="0"/>
        </w:rPr>
        <w:t xml:space="preserve">New Presence: The Prague Journal Of Central European Affairs</w:t>
      </w:r>
      <w:r w:rsidDel="00000000" w:rsidR="00000000" w:rsidRPr="00000000">
        <w:rPr>
          <w:rFonts w:ascii="Verdana" w:cs="Verdana" w:eastAsia="Verdana" w:hAnsi="Verdana"/>
          <w:color w:val="333333"/>
          <w:sz w:val="24"/>
          <w:szCs w:val="24"/>
          <w:rtl w:val="0"/>
        </w:rPr>
        <w:t xml:space="preserve">, </w:t>
      </w:r>
      <w:r w:rsidDel="00000000" w:rsidR="00000000" w:rsidRPr="00000000">
        <w:rPr>
          <w:rFonts w:ascii="Verdana" w:cs="Verdana" w:eastAsia="Verdana" w:hAnsi="Verdana"/>
          <w:i w:val="1"/>
          <w:color w:val="333333"/>
          <w:sz w:val="24"/>
          <w:szCs w:val="24"/>
          <w:rtl w:val="0"/>
        </w:rPr>
        <w:t xml:space="preserve">10</w:t>
      </w:r>
      <w:r w:rsidDel="00000000" w:rsidR="00000000" w:rsidRPr="00000000">
        <w:rPr>
          <w:rFonts w:ascii="Verdana" w:cs="Verdana" w:eastAsia="Verdana" w:hAnsi="Verdana"/>
          <w:color w:val="333333"/>
          <w:sz w:val="24"/>
          <w:szCs w:val="24"/>
          <w:rtl w:val="0"/>
        </w:rPr>
        <w:t xml:space="preserve">(3), 50-54.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Watrall, Ethan (2009). </w:t>
      </w:r>
      <w:r w:rsidDel="00000000" w:rsidR="00000000" w:rsidRPr="00000000">
        <w:rPr>
          <w:rFonts w:ascii="Verdana" w:cs="Verdana" w:eastAsia="Verdana" w:hAnsi="Verdana"/>
          <w:color w:val="444444"/>
          <w:sz w:val="24"/>
          <w:szCs w:val="24"/>
          <w:highlight w:val="white"/>
          <w:rtl w:val="0"/>
        </w:rPr>
        <w:t xml:space="preserve">Lecture 3:In the Beginning: The Prehistory to the Golden Age [Audio Podcast]. Retrieved from: http://history.msu.edu/historyofcomics/resources/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Watrall, Ethan (2009). </w:t>
      </w:r>
      <w:r w:rsidDel="00000000" w:rsidR="00000000" w:rsidRPr="00000000">
        <w:rPr>
          <w:rFonts w:ascii="Verdana" w:cs="Verdana" w:eastAsia="Verdana" w:hAnsi="Verdana"/>
          <w:color w:val="444444"/>
          <w:sz w:val="24"/>
          <w:szCs w:val="24"/>
          <w:highlight w:val="white"/>
          <w:rtl w:val="0"/>
        </w:rPr>
        <w:t xml:space="preserve">Lecture 3:In the Beginning: The Prehistory to the Golden Age [Slideshow]. Retrieved from: </w:t>
      </w:r>
      <w:hyperlink r:id="rId7">
        <w:r w:rsidDel="00000000" w:rsidR="00000000" w:rsidRPr="00000000">
          <w:rPr>
            <w:rFonts w:ascii="Verdana" w:cs="Verdana" w:eastAsia="Verdana" w:hAnsi="Verdana"/>
            <w:color w:val="1155cc"/>
            <w:sz w:val="24"/>
            <w:szCs w:val="24"/>
            <w:u w:val="single"/>
            <w:rtl w:val="0"/>
          </w:rPr>
          <w:t xml:space="preserve">http://history.msu.edu/historyofcomics/files/2009/09/lecture002hi.pdf</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Watrall, Ethan (2009). </w:t>
      </w:r>
      <w:r w:rsidDel="00000000" w:rsidR="00000000" w:rsidRPr="00000000">
        <w:rPr>
          <w:rFonts w:ascii="Verdana" w:cs="Verdana" w:eastAsia="Verdana" w:hAnsi="Verdana"/>
          <w:color w:val="444444"/>
          <w:sz w:val="24"/>
          <w:szCs w:val="24"/>
          <w:highlight w:val="white"/>
          <w:rtl w:val="0"/>
        </w:rPr>
        <w:t xml:space="preserve">Lecture 4: The Innocent, Seduced: From The Golden Age to the Silver Age [Audio Podcast]. Retrieved from: http://history.msu.edu/historyofcomics/resources</w:t>
      </w:r>
      <w:r w:rsidDel="00000000" w:rsidR="00000000" w:rsidRPr="00000000">
        <w:rPr>
          <w:rFonts w:ascii="Verdana" w:cs="Verdana" w:eastAsia="Verdana" w:hAnsi="Verdana"/>
          <w:b w:val="1"/>
          <w:color w:val="444444"/>
          <w:sz w:val="24"/>
          <w:szCs w:val="24"/>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Verdana" w:cs="Verdana" w:eastAsia="Verdana" w:hAnsi="Verdana"/>
          <w:sz w:val="24"/>
          <w:szCs w:val="24"/>
          <w:rtl w:val="0"/>
        </w:rPr>
        <w:t xml:space="preserve">Watrall, Ethan (2009). </w:t>
      </w:r>
      <w:r w:rsidDel="00000000" w:rsidR="00000000" w:rsidRPr="00000000">
        <w:rPr>
          <w:rFonts w:ascii="Verdana" w:cs="Verdana" w:eastAsia="Verdana" w:hAnsi="Verdana"/>
          <w:color w:val="444444"/>
          <w:sz w:val="24"/>
          <w:szCs w:val="24"/>
          <w:highlight w:val="white"/>
          <w:rtl w:val="0"/>
        </w:rPr>
        <w:t xml:space="preserve">Lecture 11: International Comics [Slideshow]. Retrieved from: </w:t>
      </w:r>
      <w:r w:rsidDel="00000000" w:rsidR="00000000" w:rsidRPr="00000000">
        <w:rPr>
          <w:rFonts w:ascii="Verdana" w:cs="Verdana" w:eastAsia="Verdana" w:hAnsi="Verdana"/>
          <w:sz w:val="24"/>
          <w:szCs w:val="24"/>
          <w:rtl w:val="0"/>
        </w:rPr>
        <w:t xml:space="preserve">http://history.msu.edu/historyofcomics/files/2009/09/Lecture011-International-Comics.pdf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Caudex">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jstor.org/stable/40378772" TargetMode="External"/><Relationship Id="rId6" Type="http://schemas.openxmlformats.org/officeDocument/2006/relationships/hyperlink" Target="http://www.miscelaneajournal.net/index.php/misc/article/view/205" TargetMode="External"/><Relationship Id="rId7" Type="http://schemas.openxmlformats.org/officeDocument/2006/relationships/hyperlink" Target="http://history.msu.edu/historyofcomics/files/2009/09/lecture002hi.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s>
</file>