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5562B" w:rsidRDefault="007A7285" w:rsidP="002E5E87">
      <w:pPr>
        <w:spacing w:after="0" w:line="240" w:lineRule="auto"/>
        <w:jc w:val="right"/>
      </w:pPr>
      <w:r>
        <w:rPr>
          <w:rFonts w:ascii="Times New Roman" w:eastAsia="Times New Roman" w:hAnsi="Times New Roman" w:cs="Times New Roman"/>
          <w:sz w:val="24"/>
          <w:szCs w:val="24"/>
        </w:rPr>
        <w:t>Ana Furtado</w:t>
      </w:r>
    </w:p>
    <w:p w:rsidR="00B5562B" w:rsidRDefault="007A7285" w:rsidP="002E5E87">
      <w:pPr>
        <w:spacing w:after="0" w:line="240" w:lineRule="auto"/>
        <w:jc w:val="right"/>
      </w:pPr>
      <w:r>
        <w:rPr>
          <w:rFonts w:ascii="Times New Roman" w:eastAsia="Times New Roman" w:hAnsi="Times New Roman" w:cs="Times New Roman"/>
          <w:sz w:val="24"/>
          <w:szCs w:val="24"/>
        </w:rPr>
        <w:t>Whitney Aviles-Low</w:t>
      </w:r>
    </w:p>
    <w:p w:rsidR="00B5562B" w:rsidRDefault="007A7285" w:rsidP="002E5E87">
      <w:pPr>
        <w:spacing w:after="0" w:line="240" w:lineRule="auto"/>
        <w:jc w:val="right"/>
      </w:pPr>
      <w:r>
        <w:rPr>
          <w:rFonts w:ascii="Times New Roman" w:eastAsia="Times New Roman" w:hAnsi="Times New Roman" w:cs="Times New Roman"/>
          <w:sz w:val="24"/>
          <w:szCs w:val="24"/>
        </w:rPr>
        <w:t>HIST402</w:t>
      </w:r>
    </w:p>
    <w:p w:rsidR="00B5562B" w:rsidRDefault="007A7285" w:rsidP="002E5E87">
      <w:pPr>
        <w:spacing w:after="0" w:line="240" w:lineRule="auto"/>
        <w:jc w:val="right"/>
      </w:pPr>
      <w:r>
        <w:rPr>
          <w:rFonts w:ascii="Times New Roman" w:eastAsia="Times New Roman" w:hAnsi="Times New Roman" w:cs="Times New Roman"/>
          <w:sz w:val="24"/>
          <w:szCs w:val="24"/>
        </w:rPr>
        <w:t>10/19/15</w:t>
      </w:r>
    </w:p>
    <w:p w:rsidR="00B5562B" w:rsidRDefault="00B5562B" w:rsidP="002E5E87">
      <w:pPr>
        <w:spacing w:after="0" w:line="240" w:lineRule="auto"/>
        <w:jc w:val="right"/>
      </w:pPr>
    </w:p>
    <w:p w:rsidR="00B5562B" w:rsidRDefault="007A7285" w:rsidP="002E5E87">
      <w:pPr>
        <w:spacing w:after="0" w:line="240" w:lineRule="auto"/>
        <w:jc w:val="center"/>
      </w:pPr>
      <w:bookmarkStart w:id="0" w:name="_GoBack"/>
      <w:r>
        <w:rPr>
          <w:rFonts w:ascii="Times New Roman" w:eastAsia="Times New Roman" w:hAnsi="Times New Roman" w:cs="Times New Roman"/>
          <w:sz w:val="24"/>
          <w:szCs w:val="24"/>
        </w:rPr>
        <w:t>Lausanne Conference Position Paper</w:t>
      </w:r>
    </w:p>
    <w:p w:rsidR="00B5562B" w:rsidRDefault="007A7285" w:rsidP="002E5E87">
      <w:pPr>
        <w:spacing w:after="0" w:line="240" w:lineRule="auto"/>
        <w:jc w:val="center"/>
      </w:pPr>
      <w:r>
        <w:rPr>
          <w:rFonts w:ascii="Times New Roman" w:eastAsia="Times New Roman" w:hAnsi="Times New Roman" w:cs="Times New Roman"/>
          <w:sz w:val="24"/>
          <w:szCs w:val="24"/>
        </w:rPr>
        <w:t>United Kingdom</w:t>
      </w:r>
    </w:p>
    <w:bookmarkEnd w:id="0"/>
    <w:p w:rsidR="00B5562B" w:rsidRDefault="00B5562B" w:rsidP="002E5E87">
      <w:pPr>
        <w:spacing w:after="0" w:line="240" w:lineRule="auto"/>
        <w:jc w:val="both"/>
      </w:pPr>
    </w:p>
    <w:p w:rsidR="00B5562B" w:rsidRDefault="007A7285" w:rsidP="002E5E87">
      <w:pPr>
        <w:jc w:val="both"/>
      </w:pPr>
      <w:r>
        <w:rPr>
          <w:rFonts w:ascii="Times New Roman" w:eastAsia="Times New Roman" w:hAnsi="Times New Roman" w:cs="Times New Roman"/>
          <w:sz w:val="24"/>
          <w:szCs w:val="24"/>
        </w:rPr>
        <w:t xml:space="preserve">The Government of Great Britain invites France, Italy, Greece and Turkey to examine together the desire to re-establish peace in the Near East, which has long been in a state of uncertainty. Britain perceives the necessity of ensuring Turkey’s sovereignty </w:t>
      </w:r>
      <w:r>
        <w:rPr>
          <w:rFonts w:ascii="Times New Roman" w:eastAsia="Times New Roman" w:hAnsi="Times New Roman" w:cs="Times New Roman"/>
          <w:sz w:val="24"/>
          <w:szCs w:val="24"/>
        </w:rPr>
        <w:t>and independence based on respect, and to that end is anxious to renew relations of mutual friendship and commerce; these are cardinal for the shared prosperity, compensations, and concessions of our people.</w:t>
      </w:r>
      <w:r>
        <w:rPr>
          <w:rFonts w:ascii="Times New Roman" w:eastAsia="Times New Roman" w:hAnsi="Times New Roman" w:cs="Times New Roman"/>
          <w:sz w:val="24"/>
          <w:szCs w:val="24"/>
          <w:vertAlign w:val="superscript"/>
        </w:rPr>
        <w:footnoteReference w:id="1"/>
      </w:r>
    </w:p>
    <w:p w:rsidR="00B5562B" w:rsidRDefault="007A7285" w:rsidP="002E5E87">
      <w:pPr>
        <w:jc w:val="both"/>
      </w:pPr>
      <w:r>
        <w:rPr>
          <w:rFonts w:ascii="Times New Roman" w:eastAsia="Times New Roman" w:hAnsi="Times New Roman" w:cs="Times New Roman"/>
          <w:sz w:val="24"/>
          <w:szCs w:val="24"/>
        </w:rPr>
        <w:t>In order to ensure that mutual interests are fa</w:t>
      </w:r>
      <w:r>
        <w:rPr>
          <w:rFonts w:ascii="Times New Roman" w:eastAsia="Times New Roman" w:hAnsi="Times New Roman" w:cs="Times New Roman"/>
          <w:sz w:val="24"/>
          <w:szCs w:val="24"/>
        </w:rPr>
        <w:t xml:space="preserve">irly secured, Britain proposes drafting a new agreement with the Allies that will </w:t>
      </w:r>
      <w:proofErr w:type="spellStart"/>
      <w:r>
        <w:rPr>
          <w:rFonts w:ascii="Times New Roman" w:eastAsia="Times New Roman" w:hAnsi="Times New Roman" w:cs="Times New Roman"/>
          <w:sz w:val="24"/>
          <w:szCs w:val="24"/>
        </w:rPr>
        <w:t>supercede</w:t>
      </w:r>
      <w:proofErr w:type="spellEnd"/>
      <w:r>
        <w:rPr>
          <w:rFonts w:ascii="Times New Roman" w:eastAsia="Times New Roman" w:hAnsi="Times New Roman" w:cs="Times New Roman"/>
          <w:sz w:val="24"/>
          <w:szCs w:val="24"/>
        </w:rPr>
        <w:t xml:space="preserve"> the 1920 Treaty of </w:t>
      </w:r>
      <w:proofErr w:type="spellStart"/>
      <w:r>
        <w:rPr>
          <w:rFonts w:ascii="Times New Roman" w:eastAsia="Times New Roman" w:hAnsi="Times New Roman" w:cs="Times New Roman"/>
          <w:sz w:val="24"/>
          <w:szCs w:val="24"/>
        </w:rPr>
        <w:t>S</w:t>
      </w:r>
      <w:r>
        <w:rPr>
          <w:rFonts w:ascii="Times New Roman" w:eastAsia="Times New Roman" w:hAnsi="Times New Roman" w:cs="Times New Roman"/>
          <w:highlight w:val="white"/>
        </w:rPr>
        <w:t>è</w:t>
      </w:r>
      <w:r>
        <w:rPr>
          <w:rFonts w:ascii="Times New Roman" w:eastAsia="Times New Roman" w:hAnsi="Times New Roman" w:cs="Times New Roman"/>
          <w:sz w:val="24"/>
          <w:szCs w:val="24"/>
        </w:rPr>
        <w:t>vres</w:t>
      </w:r>
      <w:proofErr w:type="spellEnd"/>
      <w:r>
        <w:rPr>
          <w:rFonts w:ascii="Times New Roman" w:eastAsia="Times New Roman" w:hAnsi="Times New Roman" w:cs="Times New Roman"/>
          <w:sz w:val="24"/>
          <w:szCs w:val="24"/>
        </w:rPr>
        <w:t>, which has proven to be both ineffective as well as highly unsatisfactory for our friend, Turkey.</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Our hope is that these negotiations and</w:t>
      </w:r>
      <w:r>
        <w:rPr>
          <w:rFonts w:ascii="Times New Roman" w:eastAsia="Times New Roman" w:hAnsi="Times New Roman" w:cs="Times New Roman"/>
          <w:sz w:val="24"/>
          <w:szCs w:val="24"/>
        </w:rPr>
        <w:t xml:space="preserve"> the decisions reached by them may be resolved in as neutral and peaceful a manner as possible.</w:t>
      </w:r>
    </w:p>
    <w:p w:rsidR="00B5562B" w:rsidRDefault="007A7285" w:rsidP="002E5E87">
      <w:pPr>
        <w:jc w:val="both"/>
      </w:pPr>
      <w:r>
        <w:rPr>
          <w:rFonts w:ascii="Times New Roman" w:eastAsia="Times New Roman" w:hAnsi="Times New Roman" w:cs="Times New Roman"/>
          <w:sz w:val="24"/>
          <w:szCs w:val="24"/>
        </w:rPr>
        <w:t xml:space="preserve">Of highest priority, in addition to the matter of Turkish military sources and the protection of minorities within Turkish borders, is the question of economic </w:t>
      </w:r>
      <w:r>
        <w:rPr>
          <w:rFonts w:ascii="Times New Roman" w:eastAsia="Times New Roman" w:hAnsi="Times New Roman" w:cs="Times New Roman"/>
          <w:sz w:val="24"/>
          <w:szCs w:val="24"/>
        </w:rPr>
        <w:t>and financial clauses, as well as certain territorial matters. These include the questions of Thrace, the Black Sea Straits, and Mosul, which Britain will share its stances on in turn.</w:t>
      </w:r>
    </w:p>
    <w:p w:rsidR="00B5562B" w:rsidRDefault="007A7285" w:rsidP="002E5E87">
      <w:pPr>
        <w:jc w:val="both"/>
      </w:pPr>
      <w:r>
        <w:rPr>
          <w:rFonts w:ascii="Times New Roman" w:eastAsia="Times New Roman" w:hAnsi="Times New Roman" w:cs="Times New Roman"/>
          <w:sz w:val="24"/>
          <w:szCs w:val="24"/>
        </w:rPr>
        <w:t>Regarding the matter of Thrace, Britain concedes and supports that East</w:t>
      </w:r>
      <w:r>
        <w:rPr>
          <w:rFonts w:ascii="Times New Roman" w:eastAsia="Times New Roman" w:hAnsi="Times New Roman" w:cs="Times New Roman"/>
          <w:sz w:val="24"/>
          <w:szCs w:val="24"/>
        </w:rPr>
        <w:t xml:space="preserve">ern Thrace be restored to Turkey as per prior agreements. Western Thrace, having been ceded to Bulgaria by Turkey in the Treaty of Bucharest, and then to the Allied and Associated Powers in the Treaty of Neuilly in 1919, cannot likewise be restored, as it </w:t>
      </w:r>
      <w:r>
        <w:rPr>
          <w:rFonts w:ascii="Times New Roman" w:eastAsia="Times New Roman" w:hAnsi="Times New Roman" w:cs="Times New Roman"/>
          <w:sz w:val="24"/>
          <w:szCs w:val="24"/>
        </w:rPr>
        <w:t>was legally transferred through the aforementioned succession of ratified treaties.</w:t>
      </w:r>
      <w:r>
        <w:rPr>
          <w:rFonts w:ascii="Times New Roman" w:eastAsia="Times New Roman" w:hAnsi="Times New Roman" w:cs="Times New Roman"/>
          <w:sz w:val="24"/>
          <w:szCs w:val="24"/>
          <w:vertAlign w:val="superscript"/>
        </w:rPr>
        <w:footnoteReference w:id="3"/>
      </w:r>
    </w:p>
    <w:p w:rsidR="00B5562B" w:rsidRDefault="007A7285" w:rsidP="002E5E87">
      <w:pPr>
        <w:jc w:val="both"/>
      </w:pPr>
      <w:r>
        <w:rPr>
          <w:rFonts w:ascii="Times New Roman" w:eastAsia="Times New Roman" w:hAnsi="Times New Roman" w:cs="Times New Roman"/>
          <w:sz w:val="24"/>
          <w:szCs w:val="24"/>
        </w:rPr>
        <w:t xml:space="preserve">The Straits Convention is a matter that especially ought to be re-examined. Maintaining open access for trade is beneficial for all economies involved, including those of </w:t>
      </w:r>
      <w:r>
        <w:rPr>
          <w:rFonts w:ascii="Times New Roman" w:eastAsia="Times New Roman" w:hAnsi="Times New Roman" w:cs="Times New Roman"/>
          <w:sz w:val="24"/>
          <w:szCs w:val="24"/>
        </w:rPr>
        <w:t xml:space="preserve">Turkey and the Allies. Britain proposes free passage through the Straits for all commercial ships in peacetime; regarding military vessels, Britain proposes freedom of the Straits limited to “the maximum forces of any one </w:t>
      </w:r>
      <w:proofErr w:type="gramStart"/>
      <w:r>
        <w:rPr>
          <w:rFonts w:ascii="Times New Roman" w:eastAsia="Times New Roman" w:hAnsi="Times New Roman" w:cs="Times New Roman"/>
          <w:sz w:val="24"/>
          <w:szCs w:val="24"/>
        </w:rPr>
        <w:lastRenderedPageBreak/>
        <w:t>naval</w:t>
      </w:r>
      <w:proofErr w:type="gramEnd"/>
      <w:r>
        <w:rPr>
          <w:rFonts w:ascii="Times New Roman" w:eastAsia="Times New Roman" w:hAnsi="Times New Roman" w:cs="Times New Roman"/>
          <w:sz w:val="24"/>
          <w:szCs w:val="24"/>
        </w:rPr>
        <w:t xml:space="preserve"> Power in the Black Sea.”</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 xml:space="preserve"> times </w:t>
      </w:r>
      <w:proofErr w:type="gramStart"/>
      <w:r>
        <w:rPr>
          <w:rFonts w:ascii="Times New Roman" w:eastAsia="Times New Roman" w:hAnsi="Times New Roman" w:cs="Times New Roman"/>
          <w:sz w:val="24"/>
          <w:szCs w:val="24"/>
        </w:rPr>
        <w:t>of  warfare</w:t>
      </w:r>
      <w:proofErr w:type="gramEnd"/>
      <w:r>
        <w:rPr>
          <w:rFonts w:ascii="Times New Roman" w:eastAsia="Times New Roman" w:hAnsi="Times New Roman" w:cs="Times New Roman"/>
          <w:sz w:val="24"/>
          <w:szCs w:val="24"/>
        </w:rPr>
        <w:t>, Britain proposes the same conditions for all ships when Turkey is a neutral party, and for exclusively neutral ships when Turkey is an engaged party.</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In addition, Britain proposes the creation of demilitarized zones on both shores of t</w:t>
      </w:r>
      <w:r>
        <w:rPr>
          <w:rFonts w:ascii="Times New Roman" w:eastAsia="Times New Roman" w:hAnsi="Times New Roman" w:cs="Times New Roman"/>
          <w:sz w:val="24"/>
          <w:szCs w:val="24"/>
        </w:rPr>
        <w:t>he Straits and the establishment of international control over them by not only the members of the Entente, but also by the Black Sea Countries.</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This will ensure an equal representation of interests in the Straits and minimize concerns over monopolization</w:t>
      </w:r>
      <w:r>
        <w:rPr>
          <w:rFonts w:ascii="Times New Roman" w:eastAsia="Times New Roman" w:hAnsi="Times New Roman" w:cs="Times New Roman"/>
          <w:sz w:val="24"/>
          <w:szCs w:val="24"/>
        </w:rPr>
        <w:t xml:space="preserve"> by any one nation or group of nations.</w:t>
      </w:r>
    </w:p>
    <w:p w:rsidR="00B5562B" w:rsidRDefault="007A7285" w:rsidP="002E5E87">
      <w:pPr>
        <w:jc w:val="both"/>
      </w:pPr>
      <w:r>
        <w:rPr>
          <w:rFonts w:ascii="Times New Roman" w:eastAsia="Times New Roman" w:hAnsi="Times New Roman" w:cs="Times New Roman"/>
          <w:sz w:val="24"/>
          <w:szCs w:val="24"/>
        </w:rPr>
        <w:t xml:space="preserve">While sensitive to Turkey’s need for self-determination, Britain is deeply concerned about the welfare of the various minorities living within Turkish borders. Among these minorities are the Armenians, the Kurds,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Chaldeans, and various Christian and Muslim groups.</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Britain urges that these minorities be ensured protection under Turkish rule, and that their rights to civil, political, and religious liberty be upheld.</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Britain also suggests that minorities within Tu</w:t>
      </w:r>
      <w:r>
        <w:rPr>
          <w:rFonts w:ascii="Times New Roman" w:eastAsia="Times New Roman" w:hAnsi="Times New Roman" w:cs="Times New Roman"/>
          <w:sz w:val="24"/>
          <w:szCs w:val="24"/>
        </w:rPr>
        <w:t>rkey be allowed freedom of movement in terms of their ability to leave Turkey and to return to Turkey as they see fit.</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As before, Britain strongly recommends that serious consideration be given to upholding separate, independent Armenian and Kurdish state</w:t>
      </w:r>
      <w:r>
        <w:rPr>
          <w:rFonts w:ascii="Times New Roman" w:eastAsia="Times New Roman" w:hAnsi="Times New Roman" w:cs="Times New Roman"/>
          <w:sz w:val="24"/>
          <w:szCs w:val="24"/>
        </w:rPr>
        <w:t>s.</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Failing this, Britain compels Turkey to consider joining the League of Nations, in full confidence that the standards to which it will be held regarding the treatment of minorities will be equal to those of every member state.</w:t>
      </w:r>
      <w:r>
        <w:rPr>
          <w:rFonts w:ascii="Times New Roman" w:eastAsia="Times New Roman" w:hAnsi="Times New Roman" w:cs="Times New Roman"/>
          <w:sz w:val="24"/>
          <w:szCs w:val="24"/>
          <w:vertAlign w:val="superscript"/>
        </w:rPr>
        <w:footnoteReference w:id="11"/>
      </w:r>
    </w:p>
    <w:p w:rsidR="00B5562B" w:rsidRDefault="007A7285" w:rsidP="002E5E87">
      <w:pPr>
        <w:jc w:val="both"/>
      </w:pPr>
      <w:r>
        <w:rPr>
          <w:rFonts w:ascii="Times New Roman" w:eastAsia="Times New Roman" w:hAnsi="Times New Roman" w:cs="Times New Roman"/>
          <w:sz w:val="24"/>
          <w:szCs w:val="24"/>
        </w:rPr>
        <w:t xml:space="preserve">Finally, of key concern </w:t>
      </w:r>
      <w:r>
        <w:rPr>
          <w:rFonts w:ascii="Times New Roman" w:eastAsia="Times New Roman" w:hAnsi="Times New Roman" w:cs="Times New Roman"/>
          <w:sz w:val="24"/>
          <w:szCs w:val="24"/>
        </w:rPr>
        <w:t>is the question of Mosul. It is understood that Turkey has an interest in this area. Britain maintains, however, that “by right of conquest, administrations as part of the mandate and the wishes of the [majority Arab and Kurdish population, Mosul is] an in</w:t>
      </w:r>
      <w:r>
        <w:rPr>
          <w:rFonts w:ascii="Times New Roman" w:eastAsia="Times New Roman" w:hAnsi="Times New Roman" w:cs="Times New Roman"/>
          <w:sz w:val="24"/>
          <w:szCs w:val="24"/>
        </w:rPr>
        <w:t>tegral and necessary part of [the kingdom of Iraq].”</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Further, the potential for a Turkish army stationed at Mosul poses a threat to the Iraqi capital, </w:t>
      </w:r>
      <w:proofErr w:type="gramStart"/>
      <w:r>
        <w:rPr>
          <w:rFonts w:ascii="Times New Roman" w:eastAsia="Times New Roman" w:hAnsi="Times New Roman" w:cs="Times New Roman"/>
          <w:sz w:val="24"/>
          <w:szCs w:val="24"/>
        </w:rPr>
        <w:t>Baghdad, that</w:t>
      </w:r>
      <w:proofErr w:type="gramEnd"/>
      <w:r>
        <w:rPr>
          <w:rFonts w:ascii="Times New Roman" w:eastAsia="Times New Roman" w:hAnsi="Times New Roman" w:cs="Times New Roman"/>
          <w:sz w:val="24"/>
          <w:szCs w:val="24"/>
        </w:rPr>
        <w:t xml:space="preserve"> Britain finds unacceptable.</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On this matter, Britain is prepared to submit their case for </w:t>
      </w:r>
      <w:r>
        <w:rPr>
          <w:rFonts w:ascii="Times New Roman" w:eastAsia="Times New Roman" w:hAnsi="Times New Roman" w:cs="Times New Roman"/>
          <w:sz w:val="24"/>
          <w:szCs w:val="24"/>
        </w:rPr>
        <w:t>impartial arbitration by the League of Nations.</w:t>
      </w:r>
      <w:r>
        <w:rPr>
          <w:rFonts w:ascii="Times New Roman" w:eastAsia="Times New Roman" w:hAnsi="Times New Roman" w:cs="Times New Roman"/>
          <w:sz w:val="24"/>
          <w:szCs w:val="24"/>
          <w:vertAlign w:val="superscript"/>
        </w:rPr>
        <w:footnoteReference w:id="14"/>
      </w:r>
    </w:p>
    <w:p w:rsidR="00B5562B" w:rsidRDefault="007A7285" w:rsidP="002E5E87">
      <w:pPr>
        <w:jc w:val="both"/>
      </w:pPr>
      <w:r>
        <w:rPr>
          <w:rFonts w:ascii="Times New Roman" w:eastAsia="Times New Roman" w:hAnsi="Times New Roman" w:cs="Times New Roman"/>
          <w:sz w:val="24"/>
          <w:szCs w:val="24"/>
        </w:rPr>
        <w:lastRenderedPageBreak/>
        <w:t>On other matters regarding economics, finance, capitulations, and the status of foreigners within Turkey, Britain is pleased to support its Allies.</w:t>
      </w:r>
      <w:r>
        <w:rPr>
          <w:rFonts w:ascii="Times New Roman" w:eastAsia="Times New Roman" w:hAnsi="Times New Roman" w:cs="Times New Roman"/>
          <w:sz w:val="24"/>
          <w:szCs w:val="24"/>
          <w:vertAlign w:val="superscript"/>
        </w:rPr>
        <w:footnoteReference w:id="15"/>
      </w:r>
    </w:p>
    <w:p w:rsidR="00B5562B" w:rsidRDefault="007A7285" w:rsidP="002E5E87">
      <w:pPr>
        <w:jc w:val="both"/>
      </w:pPr>
      <w:r>
        <w:rPr>
          <w:rFonts w:ascii="Times New Roman" w:eastAsia="Times New Roman" w:hAnsi="Times New Roman" w:cs="Times New Roman"/>
          <w:sz w:val="24"/>
          <w:szCs w:val="24"/>
        </w:rPr>
        <w:t>Bibliography</w:t>
      </w:r>
    </w:p>
    <w:p w:rsidR="00B5562B" w:rsidRDefault="007A7285" w:rsidP="002E5E87">
      <w:pPr>
        <w:pStyle w:val="ListParagraph"/>
        <w:numPr>
          <w:ilvl w:val="0"/>
          <w:numId w:val="1"/>
        </w:numPr>
        <w:spacing w:after="0" w:line="240" w:lineRule="auto"/>
        <w:jc w:val="both"/>
      </w:pPr>
      <w:proofErr w:type="spellStart"/>
      <w:r w:rsidRPr="002E5E87">
        <w:rPr>
          <w:rFonts w:ascii="Times New Roman" w:eastAsia="Times New Roman" w:hAnsi="Times New Roman" w:cs="Times New Roman"/>
          <w:sz w:val="24"/>
          <w:szCs w:val="24"/>
        </w:rPr>
        <w:t>Dockrill</w:t>
      </w:r>
      <w:proofErr w:type="spellEnd"/>
      <w:r w:rsidRPr="002E5E87">
        <w:rPr>
          <w:rFonts w:ascii="Times New Roman" w:eastAsia="Times New Roman" w:hAnsi="Times New Roman" w:cs="Times New Roman"/>
          <w:sz w:val="24"/>
          <w:szCs w:val="24"/>
        </w:rPr>
        <w:t xml:space="preserve">, Michael. “Britain and the Lausanne </w:t>
      </w:r>
      <w:r w:rsidRPr="002E5E87">
        <w:rPr>
          <w:rFonts w:ascii="Times New Roman" w:eastAsia="Times New Roman" w:hAnsi="Times New Roman" w:cs="Times New Roman"/>
          <w:sz w:val="24"/>
          <w:szCs w:val="24"/>
        </w:rPr>
        <w:t xml:space="preserve">Conference: 1922-1923.” </w:t>
      </w:r>
      <w:proofErr w:type="spellStart"/>
      <w:r w:rsidRPr="002E5E87">
        <w:rPr>
          <w:rFonts w:ascii="Times New Roman" w:eastAsia="Times New Roman" w:hAnsi="Times New Roman" w:cs="Times New Roman"/>
          <w:sz w:val="24"/>
          <w:szCs w:val="24"/>
        </w:rPr>
        <w:t>Milletleraras</w:t>
      </w:r>
      <w:proofErr w:type="spellEnd"/>
      <w:r w:rsidRPr="002E5E87">
        <w:rPr>
          <w:rFonts w:ascii="Times New Roman" w:eastAsia="Times New Roman" w:hAnsi="Times New Roman" w:cs="Times New Roman"/>
          <w:sz w:val="24"/>
          <w:szCs w:val="24"/>
        </w:rPr>
        <w:t xml:space="preserve"> (1993). Web. </w:t>
      </w:r>
      <w:hyperlink r:id="rId8">
        <w:r w:rsidRPr="002E5E87">
          <w:rPr>
            <w:rFonts w:ascii="Times New Roman" w:eastAsia="Times New Roman" w:hAnsi="Times New Roman" w:cs="Times New Roman"/>
            <w:color w:val="1155CC"/>
            <w:sz w:val="24"/>
            <w:szCs w:val="24"/>
            <w:u w:val="single"/>
          </w:rPr>
          <w:t>http://dergiler.ankara.edu.tr/dergiler/44/683/8686.pdf</w:t>
        </w:r>
      </w:hyperlink>
    </w:p>
    <w:p w:rsidR="00B5562B" w:rsidRDefault="00B5562B" w:rsidP="002E5E87">
      <w:pPr>
        <w:spacing w:after="0" w:line="240" w:lineRule="auto"/>
        <w:ind w:left="810" w:hanging="810"/>
        <w:jc w:val="both"/>
      </w:pPr>
    </w:p>
    <w:p w:rsidR="00B5562B" w:rsidRDefault="007A7285" w:rsidP="002E5E87">
      <w:pPr>
        <w:pStyle w:val="ListParagraph"/>
        <w:numPr>
          <w:ilvl w:val="0"/>
          <w:numId w:val="1"/>
        </w:numPr>
        <w:spacing w:after="0" w:line="240" w:lineRule="auto"/>
        <w:jc w:val="both"/>
      </w:pPr>
      <w:proofErr w:type="spellStart"/>
      <w:r w:rsidRPr="002E5E87">
        <w:rPr>
          <w:rFonts w:ascii="Times New Roman" w:eastAsia="Times New Roman" w:hAnsi="Times New Roman" w:cs="Times New Roman"/>
          <w:sz w:val="24"/>
          <w:szCs w:val="24"/>
        </w:rPr>
        <w:t>Dockrill</w:t>
      </w:r>
      <w:proofErr w:type="spellEnd"/>
      <w:r w:rsidRPr="002E5E87">
        <w:rPr>
          <w:rFonts w:ascii="Times New Roman" w:eastAsia="Times New Roman" w:hAnsi="Times New Roman" w:cs="Times New Roman"/>
          <w:sz w:val="24"/>
          <w:szCs w:val="24"/>
        </w:rPr>
        <w:t xml:space="preserve">, Michael L. and Douglas, J. </w:t>
      </w:r>
      <w:proofErr w:type="spellStart"/>
      <w:r w:rsidRPr="002E5E87">
        <w:rPr>
          <w:rFonts w:ascii="Times New Roman" w:eastAsia="Times New Roman" w:hAnsi="Times New Roman" w:cs="Times New Roman"/>
          <w:sz w:val="24"/>
          <w:szCs w:val="24"/>
        </w:rPr>
        <w:t>Goold</w:t>
      </w:r>
      <w:proofErr w:type="spellEnd"/>
      <w:r w:rsidRPr="002E5E87">
        <w:rPr>
          <w:rFonts w:ascii="Times New Roman" w:eastAsia="Times New Roman" w:hAnsi="Times New Roman" w:cs="Times New Roman"/>
          <w:sz w:val="24"/>
          <w:szCs w:val="24"/>
        </w:rPr>
        <w:t xml:space="preserve">. </w:t>
      </w:r>
      <w:r w:rsidRPr="002E5E87">
        <w:rPr>
          <w:rFonts w:ascii="Times New Roman" w:eastAsia="Times New Roman" w:hAnsi="Times New Roman" w:cs="Times New Roman"/>
          <w:i/>
          <w:sz w:val="24"/>
          <w:szCs w:val="24"/>
        </w:rPr>
        <w:t xml:space="preserve">Peace without Promise: Britain </w:t>
      </w:r>
      <w:r w:rsidRPr="002E5E87">
        <w:rPr>
          <w:rFonts w:ascii="Times New Roman" w:eastAsia="Times New Roman" w:hAnsi="Times New Roman" w:cs="Times New Roman"/>
          <w:i/>
          <w:sz w:val="24"/>
          <w:szCs w:val="24"/>
        </w:rPr>
        <w:t xml:space="preserve">and the Peace Conferences, 1919-23. </w:t>
      </w:r>
      <w:r w:rsidRPr="002E5E87">
        <w:rPr>
          <w:rFonts w:ascii="Times New Roman" w:eastAsia="Times New Roman" w:hAnsi="Times New Roman" w:cs="Times New Roman"/>
          <w:sz w:val="24"/>
          <w:szCs w:val="24"/>
        </w:rPr>
        <w:t xml:space="preserve">(London: Guildford and Worcester, 1981). </w:t>
      </w:r>
    </w:p>
    <w:p w:rsidR="00B5562B" w:rsidRDefault="00B5562B" w:rsidP="002E5E87">
      <w:pPr>
        <w:spacing w:after="0" w:line="240" w:lineRule="auto"/>
        <w:jc w:val="both"/>
      </w:pPr>
    </w:p>
    <w:p w:rsidR="00B5562B" w:rsidRDefault="007A7285" w:rsidP="002E5E87">
      <w:pPr>
        <w:pStyle w:val="ListParagraph"/>
        <w:numPr>
          <w:ilvl w:val="0"/>
          <w:numId w:val="1"/>
        </w:numPr>
        <w:spacing w:after="0" w:line="240" w:lineRule="auto"/>
        <w:jc w:val="both"/>
      </w:pPr>
      <w:r w:rsidRPr="002E5E87">
        <w:rPr>
          <w:rFonts w:ascii="Times New Roman" w:eastAsia="Times New Roman" w:hAnsi="Times New Roman" w:cs="Times New Roman"/>
          <w:sz w:val="24"/>
          <w:szCs w:val="24"/>
        </w:rPr>
        <w:t xml:space="preserve">Goldstein, Erik. “The Eastern Mediterranean: From the </w:t>
      </w:r>
      <w:proofErr w:type="spellStart"/>
      <w:r w:rsidRPr="002E5E87">
        <w:rPr>
          <w:rFonts w:ascii="Times New Roman" w:eastAsia="Times New Roman" w:hAnsi="Times New Roman" w:cs="Times New Roman"/>
          <w:sz w:val="24"/>
          <w:szCs w:val="24"/>
        </w:rPr>
        <w:t>Chanak</w:t>
      </w:r>
      <w:proofErr w:type="spellEnd"/>
      <w:r w:rsidRPr="002E5E87">
        <w:rPr>
          <w:rFonts w:ascii="Times New Roman" w:eastAsia="Times New Roman" w:hAnsi="Times New Roman" w:cs="Times New Roman"/>
          <w:sz w:val="24"/>
          <w:szCs w:val="24"/>
        </w:rPr>
        <w:t xml:space="preserve"> Crisis to the Treaty of Lausanne.” </w:t>
      </w:r>
      <w:r w:rsidRPr="002E5E87">
        <w:rPr>
          <w:rFonts w:ascii="Times New Roman" w:eastAsia="Times New Roman" w:hAnsi="Times New Roman" w:cs="Times New Roman"/>
          <w:i/>
          <w:sz w:val="24"/>
          <w:szCs w:val="24"/>
        </w:rPr>
        <w:t>The First World War Peace Settlements 1919-1925</w:t>
      </w:r>
      <w:r w:rsidRPr="002E5E87">
        <w:rPr>
          <w:rFonts w:ascii="Times New Roman" w:eastAsia="Times New Roman" w:hAnsi="Times New Roman" w:cs="Times New Roman"/>
          <w:sz w:val="24"/>
          <w:szCs w:val="24"/>
        </w:rPr>
        <w:t>. [London: Pearson Education, 2002].</w:t>
      </w:r>
    </w:p>
    <w:p w:rsidR="00B5562B" w:rsidRDefault="00B5562B" w:rsidP="002E5E87">
      <w:pPr>
        <w:spacing w:after="0" w:line="240" w:lineRule="auto"/>
        <w:jc w:val="both"/>
      </w:pPr>
    </w:p>
    <w:p w:rsidR="00B5562B" w:rsidRDefault="007A7285" w:rsidP="002E5E87">
      <w:pPr>
        <w:pStyle w:val="ListParagraph"/>
        <w:numPr>
          <w:ilvl w:val="0"/>
          <w:numId w:val="1"/>
        </w:numPr>
        <w:spacing w:after="0" w:line="240" w:lineRule="auto"/>
        <w:jc w:val="both"/>
      </w:pPr>
      <w:r w:rsidRPr="002E5E87">
        <w:rPr>
          <w:rFonts w:ascii="Times New Roman" w:eastAsia="Times New Roman" w:hAnsi="Times New Roman" w:cs="Times New Roman"/>
          <w:sz w:val="24"/>
          <w:szCs w:val="24"/>
        </w:rPr>
        <w:t xml:space="preserve">LAUSANNE CONFERENCE. (1922, December 18). </w:t>
      </w:r>
      <w:r w:rsidRPr="002E5E87">
        <w:rPr>
          <w:rFonts w:ascii="Times New Roman" w:eastAsia="Times New Roman" w:hAnsi="Times New Roman" w:cs="Times New Roman"/>
          <w:i/>
          <w:sz w:val="24"/>
          <w:szCs w:val="24"/>
        </w:rPr>
        <w:t xml:space="preserve">Newcastle Morning Herald and Miners' Advocate </w:t>
      </w:r>
      <w:r w:rsidRPr="002E5E87">
        <w:rPr>
          <w:rFonts w:ascii="Times New Roman" w:eastAsia="Times New Roman" w:hAnsi="Times New Roman" w:cs="Times New Roman"/>
          <w:sz w:val="24"/>
          <w:szCs w:val="24"/>
        </w:rPr>
        <w:t>(</w:t>
      </w:r>
      <w:proofErr w:type="gramStart"/>
      <w:r w:rsidRPr="002E5E87">
        <w:rPr>
          <w:rFonts w:ascii="Times New Roman" w:eastAsia="Times New Roman" w:hAnsi="Times New Roman" w:cs="Times New Roman"/>
          <w:sz w:val="24"/>
          <w:szCs w:val="24"/>
        </w:rPr>
        <w:t>NSW :</w:t>
      </w:r>
      <w:proofErr w:type="gramEnd"/>
      <w:r w:rsidRPr="002E5E87">
        <w:rPr>
          <w:rFonts w:ascii="Times New Roman" w:eastAsia="Times New Roman" w:hAnsi="Times New Roman" w:cs="Times New Roman"/>
          <w:sz w:val="24"/>
          <w:szCs w:val="24"/>
        </w:rPr>
        <w:t xml:space="preserve"> 1876 - 1954) , p. 4. Retrieved from </w:t>
      </w:r>
      <w:hyperlink r:id="rId9">
        <w:r w:rsidRPr="002E5E87">
          <w:rPr>
            <w:rFonts w:ascii="Times New Roman" w:eastAsia="Times New Roman" w:hAnsi="Times New Roman" w:cs="Times New Roman"/>
            <w:color w:val="1155CC"/>
            <w:sz w:val="24"/>
            <w:szCs w:val="24"/>
            <w:u w:val="single"/>
          </w:rPr>
          <w:t>http://nla.gov.au/nla</w:t>
        </w:r>
      </w:hyperlink>
      <w:r w:rsidRPr="002E5E87">
        <w:rPr>
          <w:rFonts w:ascii="Times New Roman" w:eastAsia="Times New Roman" w:hAnsi="Times New Roman" w:cs="Times New Roman"/>
          <w:sz w:val="24"/>
          <w:szCs w:val="24"/>
        </w:rPr>
        <w:t>. Web.</w:t>
      </w:r>
    </w:p>
    <w:p w:rsidR="00B5562B" w:rsidRDefault="00B5562B" w:rsidP="002E5E87">
      <w:pPr>
        <w:spacing w:after="0" w:line="240" w:lineRule="auto"/>
        <w:jc w:val="both"/>
      </w:pPr>
    </w:p>
    <w:p w:rsidR="00B5562B" w:rsidRDefault="007A7285" w:rsidP="002E5E87">
      <w:pPr>
        <w:pStyle w:val="ListParagraph"/>
        <w:numPr>
          <w:ilvl w:val="0"/>
          <w:numId w:val="1"/>
        </w:numPr>
        <w:spacing w:after="0"/>
        <w:jc w:val="both"/>
      </w:pPr>
      <w:r w:rsidRPr="002E5E87">
        <w:rPr>
          <w:rFonts w:ascii="Times New Roman" w:eastAsia="Times New Roman" w:hAnsi="Times New Roman" w:cs="Times New Roman"/>
          <w:sz w:val="24"/>
          <w:szCs w:val="24"/>
        </w:rPr>
        <w:t xml:space="preserve">Lausanne, Treaty of. Treaty of Peace with Turkey, and Other Instruments Signed at Lausanne on July 24, </w:t>
      </w:r>
      <w:proofErr w:type="gramStart"/>
      <w:r w:rsidRPr="002E5E87">
        <w:rPr>
          <w:rFonts w:ascii="Times New Roman" w:eastAsia="Times New Roman" w:hAnsi="Times New Roman" w:cs="Times New Roman"/>
          <w:sz w:val="24"/>
          <w:szCs w:val="24"/>
        </w:rPr>
        <w:t>1923 :</w:t>
      </w:r>
      <w:proofErr w:type="gramEnd"/>
      <w:r w:rsidRPr="002E5E87">
        <w:rPr>
          <w:rFonts w:ascii="Times New Roman" w:eastAsia="Times New Roman" w:hAnsi="Times New Roman" w:cs="Times New Roman"/>
          <w:sz w:val="24"/>
          <w:szCs w:val="24"/>
        </w:rPr>
        <w:t xml:space="preserve"> Together with Agreements between Greece and Turkey Signed on January 30, 1923, and Subsidiary Documents Forming Part of the Turkish Peace Settleme</w:t>
      </w:r>
      <w:r w:rsidRPr="002E5E87">
        <w:rPr>
          <w:rFonts w:ascii="Times New Roman" w:eastAsia="Times New Roman" w:hAnsi="Times New Roman" w:cs="Times New Roman"/>
          <w:sz w:val="24"/>
          <w:szCs w:val="24"/>
        </w:rPr>
        <w:t>nt : (with Map)., 1923. Web.</w:t>
      </w:r>
    </w:p>
    <w:p w:rsidR="00B5562B" w:rsidRDefault="00B5562B" w:rsidP="002E5E87">
      <w:pPr>
        <w:spacing w:after="0"/>
        <w:jc w:val="both"/>
      </w:pPr>
    </w:p>
    <w:p w:rsidR="00B5562B" w:rsidRDefault="007A7285" w:rsidP="002E5E87">
      <w:pPr>
        <w:pStyle w:val="ListParagraph"/>
        <w:numPr>
          <w:ilvl w:val="0"/>
          <w:numId w:val="1"/>
        </w:numPr>
        <w:spacing w:after="0" w:line="240" w:lineRule="auto"/>
        <w:jc w:val="both"/>
      </w:pPr>
      <w:r w:rsidRPr="002E5E87">
        <w:rPr>
          <w:rFonts w:ascii="Times New Roman" w:eastAsia="Times New Roman" w:hAnsi="Times New Roman" w:cs="Times New Roman"/>
          <w:sz w:val="24"/>
          <w:szCs w:val="24"/>
        </w:rPr>
        <w:t xml:space="preserve">Nicolson, Harold. </w:t>
      </w:r>
      <w:r w:rsidRPr="002E5E87">
        <w:rPr>
          <w:rFonts w:ascii="Times New Roman" w:eastAsia="Times New Roman" w:hAnsi="Times New Roman" w:cs="Times New Roman"/>
          <w:i/>
          <w:sz w:val="24"/>
          <w:szCs w:val="24"/>
        </w:rPr>
        <w:t xml:space="preserve">Curzon: The Last Phase 1919-1925, </w:t>
      </w:r>
      <w:proofErr w:type="gramStart"/>
      <w:r w:rsidRPr="002E5E87">
        <w:rPr>
          <w:rFonts w:ascii="Times New Roman" w:eastAsia="Times New Roman" w:hAnsi="Times New Roman" w:cs="Times New Roman"/>
          <w:i/>
          <w:sz w:val="24"/>
          <w:szCs w:val="24"/>
        </w:rPr>
        <w:t>A</w:t>
      </w:r>
      <w:proofErr w:type="gramEnd"/>
      <w:r w:rsidRPr="002E5E87">
        <w:rPr>
          <w:rFonts w:ascii="Times New Roman" w:eastAsia="Times New Roman" w:hAnsi="Times New Roman" w:cs="Times New Roman"/>
          <w:i/>
          <w:sz w:val="24"/>
          <w:szCs w:val="24"/>
        </w:rPr>
        <w:t xml:space="preserve"> Study in Post-War Diplomacy. </w:t>
      </w:r>
      <w:r w:rsidRPr="002E5E87">
        <w:rPr>
          <w:rFonts w:ascii="Times New Roman" w:eastAsia="Times New Roman" w:hAnsi="Times New Roman" w:cs="Times New Roman"/>
          <w:sz w:val="24"/>
          <w:szCs w:val="24"/>
        </w:rPr>
        <w:t>[London: Constable and Company Ltd., 1934]</w:t>
      </w:r>
    </w:p>
    <w:p w:rsidR="00B5562B" w:rsidRDefault="00B5562B" w:rsidP="002E5E87">
      <w:pPr>
        <w:spacing w:after="0"/>
        <w:ind w:left="720" w:hanging="720"/>
        <w:jc w:val="both"/>
      </w:pPr>
    </w:p>
    <w:p w:rsidR="00B5562B" w:rsidRDefault="00B5562B">
      <w:pPr>
        <w:spacing w:after="0" w:line="240" w:lineRule="auto"/>
      </w:pPr>
    </w:p>
    <w:sectPr w:rsidR="00B5562B">
      <w:footerReference w:type="default" r:id="rId10"/>
      <w:pgSz w:w="12240" w:h="15840"/>
      <w:pgMar w:top="1440" w:right="1183"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285" w:rsidRDefault="007A7285">
      <w:pPr>
        <w:spacing w:after="0" w:line="240" w:lineRule="auto"/>
      </w:pPr>
      <w:r>
        <w:separator/>
      </w:r>
    </w:p>
  </w:endnote>
  <w:endnote w:type="continuationSeparator" w:id="0">
    <w:p w:rsidR="007A7285" w:rsidRDefault="007A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2B" w:rsidRDefault="00B5562B">
    <w:pPr>
      <w:jc w:val="center"/>
    </w:pPr>
  </w:p>
  <w:p w:rsidR="00B5562B" w:rsidRDefault="00B5562B">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285" w:rsidRDefault="007A7285">
      <w:pPr>
        <w:spacing w:after="0" w:line="240" w:lineRule="auto"/>
      </w:pPr>
      <w:r>
        <w:separator/>
      </w:r>
    </w:p>
  </w:footnote>
  <w:footnote w:type="continuationSeparator" w:id="0">
    <w:p w:rsidR="007A7285" w:rsidRDefault="007A7285">
      <w:pPr>
        <w:spacing w:after="0" w:line="240" w:lineRule="auto"/>
      </w:pPr>
      <w:r>
        <w:continuationSeparator/>
      </w:r>
    </w:p>
  </w:footnote>
  <w:footnote w:id="1">
    <w:p w:rsidR="00B5562B" w:rsidRDefault="007A7285">
      <w:pPr>
        <w:spacing w:after="0"/>
        <w:jc w:val="both"/>
      </w:pPr>
      <w:r>
        <w:rPr>
          <w:vertAlign w:val="superscript"/>
        </w:rPr>
        <w:footnoteRef/>
      </w:r>
      <w:r>
        <w:rPr>
          <w:rFonts w:ascii="Times New Roman" w:eastAsia="Times New Roman" w:hAnsi="Times New Roman" w:cs="Times New Roman"/>
          <w:sz w:val="20"/>
          <w:szCs w:val="20"/>
        </w:rPr>
        <w:t xml:space="preserve"> Lausanne, Treaty of. Tre</w:t>
      </w:r>
      <w:r>
        <w:rPr>
          <w:rFonts w:ascii="Times New Roman" w:eastAsia="Times New Roman" w:hAnsi="Times New Roman" w:cs="Times New Roman"/>
          <w:sz w:val="20"/>
          <w:szCs w:val="20"/>
        </w:rPr>
        <w:t xml:space="preserve">aty of Peace with Turkey, and Other Instruments Signed at Lausanne on July 24, </w:t>
      </w:r>
      <w:proofErr w:type="gramStart"/>
      <w:r>
        <w:rPr>
          <w:rFonts w:ascii="Times New Roman" w:eastAsia="Times New Roman" w:hAnsi="Times New Roman" w:cs="Times New Roman"/>
          <w:sz w:val="20"/>
          <w:szCs w:val="20"/>
        </w:rPr>
        <w:t>1923 :</w:t>
      </w:r>
      <w:proofErr w:type="gramEnd"/>
      <w:r>
        <w:rPr>
          <w:rFonts w:ascii="Times New Roman" w:eastAsia="Times New Roman" w:hAnsi="Times New Roman" w:cs="Times New Roman"/>
          <w:sz w:val="20"/>
          <w:szCs w:val="20"/>
        </w:rPr>
        <w:t xml:space="preserve"> Together with Agreements between Greece and Turkey Signed on January 30, 1923, and Subsidiary Documents Forming Part of the Turkish Peace Settlement : (with Map)., 1923. </w:t>
      </w:r>
      <w:proofErr w:type="gramStart"/>
      <w:r>
        <w:rPr>
          <w:rFonts w:ascii="Times New Roman" w:eastAsia="Times New Roman" w:hAnsi="Times New Roman" w:cs="Times New Roman"/>
          <w:sz w:val="20"/>
          <w:szCs w:val="20"/>
        </w:rPr>
        <w:t>Web.</w:t>
      </w:r>
      <w:proofErr w:type="gramEnd"/>
    </w:p>
  </w:footnote>
  <w:footnote w:id="2">
    <w:p w:rsidR="00B5562B" w:rsidRDefault="007A7285">
      <w:pPr>
        <w:spacing w:after="0" w:line="240" w:lineRule="auto"/>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Dockrill</w:t>
      </w:r>
      <w:proofErr w:type="spellEnd"/>
      <w:r>
        <w:rPr>
          <w:rFonts w:ascii="Times New Roman" w:eastAsia="Times New Roman" w:hAnsi="Times New Roman" w:cs="Times New Roman"/>
          <w:sz w:val="20"/>
          <w:szCs w:val="20"/>
        </w:rPr>
        <w:t xml:space="preserve">, Michael. “Britain and the Lausanne Conference: 1922-1923.” </w:t>
      </w:r>
      <w:proofErr w:type="spellStart"/>
      <w:r>
        <w:rPr>
          <w:rFonts w:ascii="Times New Roman" w:eastAsia="Times New Roman" w:hAnsi="Times New Roman" w:cs="Times New Roman"/>
          <w:sz w:val="20"/>
          <w:szCs w:val="20"/>
        </w:rPr>
        <w:t>Milletleraras</w:t>
      </w:r>
      <w:proofErr w:type="spellEnd"/>
      <w:r>
        <w:rPr>
          <w:rFonts w:ascii="Times New Roman" w:eastAsia="Times New Roman" w:hAnsi="Times New Roman" w:cs="Times New Roman"/>
          <w:sz w:val="20"/>
          <w:szCs w:val="20"/>
        </w:rPr>
        <w:t xml:space="preserve"> (1993): 1-17. </w:t>
      </w:r>
      <w:proofErr w:type="gramStart"/>
      <w:r>
        <w:rPr>
          <w:rFonts w:ascii="Times New Roman" w:eastAsia="Times New Roman" w:hAnsi="Times New Roman" w:cs="Times New Roman"/>
          <w:sz w:val="20"/>
          <w:szCs w:val="20"/>
        </w:rPr>
        <w:t>Web.</w:t>
      </w:r>
      <w:proofErr w:type="gramEnd"/>
    </w:p>
    <w:p w:rsidR="00B5562B" w:rsidRDefault="007A7285">
      <w:pPr>
        <w:spacing w:after="0" w:line="240" w:lineRule="auto"/>
        <w:jc w:val="both"/>
      </w:pPr>
      <w:r>
        <w:rPr>
          <w:rFonts w:ascii="Times New Roman" w:eastAsia="Times New Roman" w:hAnsi="Times New Roman" w:cs="Times New Roman"/>
          <w:sz w:val="20"/>
          <w:szCs w:val="20"/>
        </w:rPr>
        <w:t>http://dergiler.ankara.edu.tr/dergiler/44/683/8686.pdf</w:t>
      </w:r>
    </w:p>
  </w:footnote>
  <w:footnote w:id="3">
    <w:p w:rsidR="00B5562B" w:rsidRDefault="007A7285">
      <w:pPr>
        <w:spacing w:after="0"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Nicolson, Harold. “Lausanne: Opening </w:t>
      </w:r>
      <w:proofErr w:type="spellStart"/>
      <w:r>
        <w:rPr>
          <w:rFonts w:ascii="Times New Roman" w:eastAsia="Times New Roman" w:hAnsi="Times New Roman" w:cs="Times New Roman"/>
          <w:sz w:val="20"/>
          <w:szCs w:val="20"/>
        </w:rPr>
        <w:t>Manoeuvres</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Curzon: The Last Phase 1919-1925, </w:t>
      </w:r>
      <w:proofErr w:type="gramStart"/>
      <w:r>
        <w:rPr>
          <w:rFonts w:ascii="Times New Roman" w:eastAsia="Times New Roman" w:hAnsi="Times New Roman" w:cs="Times New Roman"/>
          <w:i/>
          <w:sz w:val="20"/>
          <w:szCs w:val="20"/>
        </w:rPr>
        <w:t>A</w:t>
      </w:r>
      <w:proofErr w:type="gramEnd"/>
      <w:r>
        <w:rPr>
          <w:rFonts w:ascii="Times New Roman" w:eastAsia="Times New Roman" w:hAnsi="Times New Roman" w:cs="Times New Roman"/>
          <w:i/>
          <w:sz w:val="20"/>
          <w:szCs w:val="20"/>
        </w:rPr>
        <w:t xml:space="preserve"> Study in Post-War Diplomacy. </w:t>
      </w:r>
      <w:proofErr w:type="gramStart"/>
      <w:r>
        <w:rPr>
          <w:rFonts w:ascii="Times New Roman" w:eastAsia="Times New Roman" w:hAnsi="Times New Roman" w:cs="Times New Roman"/>
          <w:sz w:val="20"/>
          <w:szCs w:val="20"/>
        </w:rPr>
        <w:t>[London: Co</w:t>
      </w:r>
      <w:r>
        <w:rPr>
          <w:rFonts w:ascii="Times New Roman" w:eastAsia="Times New Roman" w:hAnsi="Times New Roman" w:cs="Times New Roman"/>
          <w:sz w:val="20"/>
          <w:szCs w:val="20"/>
        </w:rPr>
        <w:t>nstable and Company Ltd., 1934] 293.</w:t>
      </w:r>
      <w:proofErr w:type="gramEnd"/>
    </w:p>
  </w:footnote>
  <w:footnote w:id="4">
    <w:p w:rsidR="00B5562B" w:rsidRDefault="007A7285">
      <w:pPr>
        <w:spacing w:after="0"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Nicolson. “Lausanne: Opening </w:t>
      </w:r>
      <w:proofErr w:type="spellStart"/>
      <w:r>
        <w:rPr>
          <w:rFonts w:ascii="Times New Roman" w:eastAsia="Times New Roman" w:hAnsi="Times New Roman" w:cs="Times New Roman"/>
          <w:sz w:val="20"/>
          <w:szCs w:val="20"/>
        </w:rPr>
        <w:t>Maoeuvres</w:t>
      </w:r>
      <w:proofErr w:type="spellEnd"/>
      <w:r>
        <w:rPr>
          <w:rFonts w:ascii="Times New Roman" w:eastAsia="Times New Roman" w:hAnsi="Times New Roman" w:cs="Times New Roman"/>
          <w:sz w:val="20"/>
          <w:szCs w:val="20"/>
        </w:rPr>
        <w:t>.” 312</w:t>
      </w:r>
    </w:p>
  </w:footnote>
  <w:footnote w:id="5">
    <w:p w:rsidR="00B5562B" w:rsidRDefault="007A7285">
      <w:pPr>
        <w:spacing w:after="0" w:line="240" w:lineRule="auto"/>
      </w:pPr>
      <w:r>
        <w:rPr>
          <w:vertAlign w:val="superscript"/>
        </w:rPr>
        <w:footnoteRef/>
      </w:r>
      <w:r>
        <w:rPr>
          <w:sz w:val="20"/>
          <w:szCs w:val="20"/>
        </w:rPr>
        <w:t xml:space="preserve"> </w:t>
      </w:r>
      <w:proofErr w:type="spellStart"/>
      <w:proofErr w:type="gramStart"/>
      <w:r>
        <w:rPr>
          <w:rFonts w:ascii="Times New Roman" w:eastAsia="Times New Roman" w:hAnsi="Times New Roman" w:cs="Times New Roman"/>
          <w:sz w:val="20"/>
          <w:szCs w:val="20"/>
        </w:rPr>
        <w:t>Dockrill</w:t>
      </w:r>
      <w:proofErr w:type="spellEnd"/>
      <w:r>
        <w:rPr>
          <w:rFonts w:ascii="Times New Roman" w:eastAsia="Times New Roman" w:hAnsi="Times New Roman" w:cs="Times New Roman"/>
          <w:sz w:val="20"/>
          <w:szCs w:val="20"/>
        </w:rPr>
        <w:t xml:space="preserve">, Michael L. and Douglas, J. </w:t>
      </w:r>
      <w:proofErr w:type="spellStart"/>
      <w:r>
        <w:rPr>
          <w:rFonts w:ascii="Times New Roman" w:eastAsia="Times New Roman" w:hAnsi="Times New Roman" w:cs="Times New Roman"/>
          <w:sz w:val="20"/>
          <w:szCs w:val="20"/>
        </w:rPr>
        <w:t>Goold</w:t>
      </w:r>
      <w:proofErr w:type="spellEnd"/>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“The Dissolution of the Ottoman Empire: Turkey 1919-1923.” </w:t>
      </w:r>
      <w:r>
        <w:rPr>
          <w:rFonts w:ascii="Times New Roman" w:eastAsia="Times New Roman" w:hAnsi="Times New Roman" w:cs="Times New Roman"/>
          <w:i/>
          <w:sz w:val="20"/>
          <w:szCs w:val="20"/>
        </w:rPr>
        <w:t xml:space="preserve">Peace without Promise: Britain and the Peace Conferences, 1919-23. </w:t>
      </w:r>
      <w:proofErr w:type="gramStart"/>
      <w:r>
        <w:rPr>
          <w:rFonts w:ascii="Times New Roman" w:eastAsia="Times New Roman" w:hAnsi="Times New Roman" w:cs="Times New Roman"/>
          <w:sz w:val="20"/>
          <w:szCs w:val="20"/>
        </w:rPr>
        <w:t>(London: Guildford and Worcester, 1981).</w:t>
      </w:r>
      <w:proofErr w:type="gramEnd"/>
      <w:r>
        <w:rPr>
          <w:rFonts w:ascii="Times New Roman" w:eastAsia="Times New Roman" w:hAnsi="Times New Roman" w:cs="Times New Roman"/>
          <w:sz w:val="20"/>
          <w:szCs w:val="20"/>
        </w:rPr>
        <w:t xml:space="preserve"> 238.</w:t>
      </w:r>
    </w:p>
  </w:footnote>
  <w:footnote w:id="6">
    <w:p w:rsidR="00B5562B" w:rsidRDefault="007A7285">
      <w:pPr>
        <w:spacing w:after="0" w:line="240" w:lineRule="auto"/>
        <w:jc w:val="both"/>
      </w:pPr>
      <w:r>
        <w:rPr>
          <w:vertAlign w:val="superscript"/>
        </w:rPr>
        <w:footnoteRef/>
      </w:r>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Dockrill</w:t>
      </w:r>
      <w:proofErr w:type="spellEnd"/>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"Britain and the Lausanne Conference.”</w:t>
      </w:r>
      <w:proofErr w:type="gramEnd"/>
      <w:r>
        <w:rPr>
          <w:rFonts w:ascii="Times New Roman" w:eastAsia="Times New Roman" w:hAnsi="Times New Roman" w:cs="Times New Roman"/>
          <w:sz w:val="20"/>
          <w:szCs w:val="20"/>
        </w:rPr>
        <w:t xml:space="preserve"> 1-2</w:t>
      </w:r>
    </w:p>
  </w:footnote>
  <w:footnote w:id="7">
    <w:p w:rsidR="00B5562B" w:rsidRDefault="007A7285">
      <w:pPr>
        <w:spacing w:after="0"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Nicolson, Harold. “Lausanne: The Final Triumph.” </w:t>
      </w:r>
      <w:r>
        <w:rPr>
          <w:rFonts w:ascii="Times New Roman" w:eastAsia="Times New Roman" w:hAnsi="Times New Roman" w:cs="Times New Roman"/>
          <w:i/>
          <w:sz w:val="20"/>
          <w:szCs w:val="20"/>
        </w:rPr>
        <w:t xml:space="preserve">Curzon: The Last Phase 1919-1925, </w:t>
      </w:r>
      <w:proofErr w:type="gramStart"/>
      <w:r>
        <w:rPr>
          <w:rFonts w:ascii="Times New Roman" w:eastAsia="Times New Roman" w:hAnsi="Times New Roman" w:cs="Times New Roman"/>
          <w:i/>
          <w:sz w:val="20"/>
          <w:szCs w:val="20"/>
        </w:rPr>
        <w:t>A</w:t>
      </w:r>
      <w:proofErr w:type="gramEnd"/>
      <w:r>
        <w:rPr>
          <w:rFonts w:ascii="Times New Roman" w:eastAsia="Times New Roman" w:hAnsi="Times New Roman" w:cs="Times New Roman"/>
          <w:i/>
          <w:sz w:val="20"/>
          <w:szCs w:val="20"/>
        </w:rPr>
        <w:t xml:space="preserve"> Study in Post-War Diplomacy. </w:t>
      </w:r>
      <w:proofErr w:type="gramStart"/>
      <w:r>
        <w:rPr>
          <w:rFonts w:ascii="Times New Roman" w:eastAsia="Times New Roman" w:hAnsi="Times New Roman" w:cs="Times New Roman"/>
          <w:sz w:val="20"/>
          <w:szCs w:val="20"/>
        </w:rPr>
        <w:t>[London: Constable and Company Ltd., 1934] 315.</w:t>
      </w:r>
      <w:proofErr w:type="gramEnd"/>
    </w:p>
  </w:footnote>
  <w:footnote w:id="8">
    <w:p w:rsidR="00B5562B" w:rsidRDefault="007A7285">
      <w:pPr>
        <w:spacing w:after="0" w:line="240" w:lineRule="auto"/>
      </w:pPr>
      <w:r>
        <w:rPr>
          <w:vertAlign w:val="superscript"/>
        </w:rPr>
        <w:footnoteRef/>
      </w:r>
      <w:r>
        <w:rPr>
          <w:sz w:val="20"/>
          <w:szCs w:val="20"/>
        </w:rPr>
        <w:t xml:space="preserve"> </w:t>
      </w:r>
      <w:proofErr w:type="gramStart"/>
      <w:r>
        <w:rPr>
          <w:rFonts w:ascii="Times New Roman" w:eastAsia="Times New Roman" w:hAnsi="Times New Roman" w:cs="Times New Roman"/>
          <w:sz w:val="18"/>
          <w:szCs w:val="18"/>
        </w:rPr>
        <w:t>LAUSANNE CONFERENCE.</w:t>
      </w:r>
      <w:proofErr w:type="gramEnd"/>
      <w:r>
        <w:rPr>
          <w:rFonts w:ascii="Times New Roman" w:eastAsia="Times New Roman" w:hAnsi="Times New Roman" w:cs="Times New Roman"/>
          <w:sz w:val="18"/>
          <w:szCs w:val="18"/>
        </w:rPr>
        <w:t xml:space="preserve"> (1922, December 1</w:t>
      </w:r>
      <w:r>
        <w:rPr>
          <w:rFonts w:ascii="Times New Roman" w:eastAsia="Times New Roman" w:hAnsi="Times New Roman" w:cs="Times New Roman"/>
          <w:sz w:val="18"/>
          <w:szCs w:val="18"/>
        </w:rPr>
        <w:t xml:space="preserve">8). </w:t>
      </w:r>
      <w:r>
        <w:rPr>
          <w:rFonts w:ascii="Times New Roman" w:eastAsia="Times New Roman" w:hAnsi="Times New Roman" w:cs="Times New Roman"/>
          <w:i/>
          <w:sz w:val="18"/>
          <w:szCs w:val="18"/>
        </w:rPr>
        <w:t xml:space="preserve">Newcastle Morning Herald and Miners' Advocate </w:t>
      </w:r>
      <w:r>
        <w:rPr>
          <w:rFonts w:ascii="Times New Roman" w:eastAsia="Times New Roman" w:hAnsi="Times New Roman" w:cs="Times New Roman"/>
          <w:sz w:val="18"/>
          <w:szCs w:val="18"/>
        </w:rPr>
        <w:t>(</w:t>
      </w:r>
      <w:proofErr w:type="gramStart"/>
      <w:r>
        <w:rPr>
          <w:rFonts w:ascii="Times New Roman" w:eastAsia="Times New Roman" w:hAnsi="Times New Roman" w:cs="Times New Roman"/>
          <w:sz w:val="18"/>
          <w:szCs w:val="18"/>
        </w:rPr>
        <w:t>NSW :</w:t>
      </w:r>
      <w:proofErr w:type="gramEnd"/>
      <w:r>
        <w:rPr>
          <w:rFonts w:ascii="Times New Roman" w:eastAsia="Times New Roman" w:hAnsi="Times New Roman" w:cs="Times New Roman"/>
          <w:sz w:val="18"/>
          <w:szCs w:val="18"/>
        </w:rPr>
        <w:t xml:space="preserve"> 1876 - 1954) , p. 4. Retrieved from http://nla.gov.au/nla.news-article140008048</w:t>
      </w:r>
    </w:p>
  </w:footnote>
  <w:footnote w:id="9">
    <w:p w:rsidR="00B5562B" w:rsidRDefault="007A7285">
      <w:pPr>
        <w:spacing w:after="0"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Ibid.</w:t>
      </w:r>
    </w:p>
  </w:footnote>
  <w:footnote w:id="10">
    <w:p w:rsidR="00B5562B" w:rsidRDefault="007A7285">
      <w:pPr>
        <w:spacing w:after="0"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Goldstein, Erik. </w:t>
      </w:r>
      <w:proofErr w:type="gramStart"/>
      <w:r>
        <w:rPr>
          <w:rFonts w:ascii="Times New Roman" w:eastAsia="Times New Roman" w:hAnsi="Times New Roman" w:cs="Times New Roman"/>
          <w:sz w:val="20"/>
          <w:szCs w:val="20"/>
        </w:rPr>
        <w:t xml:space="preserve">“The Eastern Mediterranean: From the </w:t>
      </w:r>
      <w:proofErr w:type="spellStart"/>
      <w:r>
        <w:rPr>
          <w:rFonts w:ascii="Times New Roman" w:eastAsia="Times New Roman" w:hAnsi="Times New Roman" w:cs="Times New Roman"/>
          <w:sz w:val="20"/>
          <w:szCs w:val="20"/>
        </w:rPr>
        <w:t>Chanak</w:t>
      </w:r>
      <w:proofErr w:type="spellEnd"/>
      <w:r>
        <w:rPr>
          <w:rFonts w:ascii="Times New Roman" w:eastAsia="Times New Roman" w:hAnsi="Times New Roman" w:cs="Times New Roman"/>
          <w:sz w:val="20"/>
          <w:szCs w:val="20"/>
        </w:rPr>
        <w:t xml:space="preserve"> Crisis to the Treaty of Lausanne.”</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The First World War Peace Settlements 1919-1925</w:t>
      </w:r>
      <w:r>
        <w:rPr>
          <w:rFonts w:ascii="Times New Roman" w:eastAsia="Times New Roman" w:hAnsi="Times New Roman" w:cs="Times New Roman"/>
          <w:sz w:val="20"/>
          <w:szCs w:val="20"/>
        </w:rPr>
        <w:t>. [London: Pearson Education, 2002]. 63.</w:t>
      </w:r>
    </w:p>
  </w:footnote>
  <w:footnote w:id="11">
    <w:p w:rsidR="00B5562B" w:rsidRDefault="007A7285">
      <w:pPr>
        <w:spacing w:after="0"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Nicols</w:t>
      </w:r>
      <w:r>
        <w:rPr>
          <w:rFonts w:ascii="Times New Roman" w:eastAsia="Times New Roman" w:hAnsi="Times New Roman" w:cs="Times New Roman"/>
          <w:sz w:val="20"/>
          <w:szCs w:val="20"/>
        </w:rPr>
        <w:t>on. “Lausanne: The Final Triumph.” 318</w:t>
      </w:r>
    </w:p>
  </w:footnote>
  <w:footnote w:id="12">
    <w:p w:rsidR="00B5562B" w:rsidRDefault="007A7285">
      <w:pPr>
        <w:spacing w:after="0" w:line="240" w:lineRule="auto"/>
      </w:pPr>
      <w:r>
        <w:rPr>
          <w:vertAlign w:val="superscript"/>
        </w:rPr>
        <w:footnoteRef/>
      </w:r>
      <w:r>
        <w:rPr>
          <w:sz w:val="20"/>
          <w:szCs w:val="20"/>
        </w:rPr>
        <w:t xml:space="preserve"> </w:t>
      </w:r>
      <w:proofErr w:type="spellStart"/>
      <w:proofErr w:type="gramStart"/>
      <w:r>
        <w:rPr>
          <w:rFonts w:ascii="Times New Roman" w:eastAsia="Times New Roman" w:hAnsi="Times New Roman" w:cs="Times New Roman"/>
          <w:sz w:val="20"/>
          <w:szCs w:val="20"/>
        </w:rPr>
        <w:t>Dockrill</w:t>
      </w:r>
      <w:proofErr w:type="spellEnd"/>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Peace without Promise. </w:t>
      </w:r>
      <w:r>
        <w:rPr>
          <w:rFonts w:ascii="Times New Roman" w:eastAsia="Times New Roman" w:hAnsi="Times New Roman" w:cs="Times New Roman"/>
          <w:sz w:val="20"/>
          <w:szCs w:val="20"/>
        </w:rPr>
        <w:t>240.</w:t>
      </w:r>
    </w:p>
  </w:footnote>
  <w:footnote w:id="13">
    <w:p w:rsidR="00B5562B" w:rsidRDefault="007A7285">
      <w:pPr>
        <w:spacing w:after="0"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Nicolson. “Lausanne: The Final Triumph.” 337.</w:t>
      </w:r>
    </w:p>
  </w:footnote>
  <w:footnote w:id="14">
    <w:p w:rsidR="00B5562B" w:rsidRDefault="007A7285">
      <w:pPr>
        <w:spacing w:after="0" w:line="240" w:lineRule="auto"/>
      </w:pPr>
      <w:r>
        <w:rPr>
          <w:vertAlign w:val="superscript"/>
        </w:rPr>
        <w:footnoteRef/>
      </w:r>
      <w:r>
        <w:rPr>
          <w:rFonts w:ascii="Times New Roman" w:eastAsia="Times New Roman" w:hAnsi="Times New Roman" w:cs="Times New Roman"/>
          <w:sz w:val="20"/>
          <w:szCs w:val="20"/>
        </w:rPr>
        <w:t xml:space="preserve"> Ibid.</w:t>
      </w:r>
    </w:p>
  </w:footnote>
  <w:footnote w:id="15">
    <w:p w:rsidR="00B5562B" w:rsidRDefault="007A7285">
      <w:pPr>
        <w:spacing w:after="0"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Nicolson, “Lausanne: The Final Triumph.” 341.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84FF3"/>
    <w:multiLevelType w:val="hybridMultilevel"/>
    <w:tmpl w:val="B9C8C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5562B"/>
    <w:rsid w:val="002E5E87"/>
    <w:rsid w:val="007A7285"/>
    <w:rsid w:val="00B5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2E5E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2E5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dergiler.ankara.edu.tr/dergiler/44/683/8686.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la.gov.au/n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Furtado, Ana</dc:creator>
  <cp:lastModifiedBy>Furtado, Ana</cp:lastModifiedBy>
  <cp:revision>2</cp:revision>
  <dcterms:created xsi:type="dcterms:W3CDTF">2015-10-23T16:56:00Z</dcterms:created>
  <dcterms:modified xsi:type="dcterms:W3CDTF">2015-10-23T16:56:00Z</dcterms:modified>
</cp:coreProperties>
</file>