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6C60" w:rsidRDefault="00B66C60">
      <w:pPr>
        <w:pStyle w:val="normal0"/>
      </w:pPr>
      <w:bookmarkStart w:id="0" w:name="_GoBack"/>
      <w:bookmarkEnd w:id="0"/>
    </w:p>
    <w:p w:rsidR="00B66C60" w:rsidRDefault="00B66C60">
      <w:pPr>
        <w:pStyle w:val="normal0"/>
      </w:pPr>
    </w:p>
    <w:p w:rsidR="00B66C60" w:rsidRDefault="00B66C60">
      <w:pPr>
        <w:pStyle w:val="normal0"/>
      </w:pPr>
    </w:p>
    <w:p w:rsidR="00B66C60" w:rsidRDefault="00B66C60">
      <w:pPr>
        <w:pStyle w:val="normal0"/>
      </w:pPr>
    </w:p>
    <w:p w:rsidR="00B66C60" w:rsidRDefault="00B66C60">
      <w:pPr>
        <w:pStyle w:val="normal0"/>
      </w:pPr>
    </w:p>
    <w:p w:rsidR="00B66C60" w:rsidRDefault="00B66C60">
      <w:pPr>
        <w:pStyle w:val="normal0"/>
      </w:pPr>
    </w:p>
    <w:p w:rsidR="00B66C60" w:rsidRDefault="00B66C60">
      <w:pPr>
        <w:pStyle w:val="normal0"/>
      </w:pPr>
    </w:p>
    <w:p w:rsidR="00B66C60" w:rsidRDefault="00B66C60">
      <w:pPr>
        <w:pStyle w:val="normal0"/>
      </w:pPr>
    </w:p>
    <w:p w:rsidR="00B66C60" w:rsidRDefault="00B66C60">
      <w:pPr>
        <w:pStyle w:val="normal0"/>
      </w:pPr>
    </w:p>
    <w:p w:rsidR="00B66C60" w:rsidRDefault="00B66C60">
      <w:pPr>
        <w:pStyle w:val="normal0"/>
      </w:pPr>
    </w:p>
    <w:p w:rsidR="00B66C60" w:rsidRDefault="00F60B4D">
      <w:pPr>
        <w:pStyle w:val="normal0"/>
        <w:jc w:val="center"/>
      </w:pPr>
      <w:r>
        <w:rPr>
          <w:rFonts w:ascii="Times New Roman" w:eastAsia="Times New Roman" w:hAnsi="Times New Roman" w:cs="Times New Roman"/>
          <w:color w:val="434343"/>
          <w:sz w:val="24"/>
          <w:szCs w:val="24"/>
        </w:rPr>
        <w:t>Integrating Technology with Math and Science for an Enhanced Learning Space</w:t>
      </w:r>
    </w:p>
    <w:p w:rsidR="00B66C60" w:rsidRDefault="00B66C60">
      <w:pPr>
        <w:pStyle w:val="normal0"/>
        <w:jc w:val="center"/>
      </w:pPr>
    </w:p>
    <w:p w:rsidR="00B66C60" w:rsidRDefault="00F60B4D">
      <w:pPr>
        <w:pStyle w:val="normal0"/>
        <w:jc w:val="center"/>
      </w:pPr>
      <w:r>
        <w:rPr>
          <w:rFonts w:ascii="Times New Roman" w:eastAsia="Times New Roman" w:hAnsi="Times New Roman" w:cs="Times New Roman"/>
          <w:color w:val="434343"/>
          <w:sz w:val="24"/>
          <w:szCs w:val="24"/>
        </w:rPr>
        <w:t>Jessica R. Holder</w:t>
      </w:r>
    </w:p>
    <w:p w:rsidR="00B66C60" w:rsidRDefault="00B66C60">
      <w:pPr>
        <w:pStyle w:val="normal0"/>
        <w:jc w:val="center"/>
      </w:pPr>
    </w:p>
    <w:p w:rsidR="00B66C60" w:rsidRDefault="00F60B4D">
      <w:pPr>
        <w:pStyle w:val="normal0"/>
        <w:jc w:val="center"/>
      </w:pPr>
      <w:r>
        <w:rPr>
          <w:rFonts w:ascii="Times New Roman" w:eastAsia="Times New Roman" w:hAnsi="Times New Roman" w:cs="Times New Roman"/>
          <w:color w:val="434343"/>
          <w:sz w:val="24"/>
          <w:szCs w:val="24"/>
        </w:rPr>
        <w:t>University of British Columbia</w:t>
      </w:r>
    </w:p>
    <w:p w:rsidR="00B66C60" w:rsidRDefault="00B66C60">
      <w:pPr>
        <w:pStyle w:val="normal0"/>
      </w:pPr>
    </w:p>
    <w:p w:rsidR="00B66C60" w:rsidRDefault="00B66C60">
      <w:pPr>
        <w:pStyle w:val="normal0"/>
      </w:pPr>
    </w:p>
    <w:p w:rsidR="00B66C60" w:rsidRDefault="00B66C60">
      <w:pPr>
        <w:pStyle w:val="normal0"/>
      </w:pPr>
    </w:p>
    <w:p w:rsidR="00B66C60" w:rsidRDefault="00B66C60">
      <w:pPr>
        <w:pStyle w:val="normal0"/>
      </w:pPr>
    </w:p>
    <w:p w:rsidR="00B66C60" w:rsidRDefault="00B66C60">
      <w:pPr>
        <w:pStyle w:val="normal0"/>
      </w:pPr>
    </w:p>
    <w:p w:rsidR="00B66C60" w:rsidRDefault="00B66C60">
      <w:pPr>
        <w:pStyle w:val="normal0"/>
      </w:pPr>
    </w:p>
    <w:p w:rsidR="00B66C60" w:rsidRDefault="00B66C60">
      <w:pPr>
        <w:pStyle w:val="normal0"/>
      </w:pPr>
    </w:p>
    <w:p w:rsidR="00B66C60" w:rsidRDefault="00B66C60">
      <w:pPr>
        <w:pStyle w:val="normal0"/>
      </w:pPr>
    </w:p>
    <w:p w:rsidR="00B66C60" w:rsidRDefault="00B66C60">
      <w:pPr>
        <w:pStyle w:val="normal0"/>
      </w:pPr>
    </w:p>
    <w:p w:rsidR="00B66C60" w:rsidRDefault="00B66C60">
      <w:pPr>
        <w:pStyle w:val="normal0"/>
      </w:pPr>
    </w:p>
    <w:p w:rsidR="00B66C60" w:rsidRDefault="00B66C60">
      <w:pPr>
        <w:pStyle w:val="normal0"/>
      </w:pPr>
    </w:p>
    <w:p w:rsidR="00B66C60" w:rsidRDefault="00B66C60">
      <w:pPr>
        <w:pStyle w:val="normal0"/>
      </w:pPr>
    </w:p>
    <w:p w:rsidR="00B66C60" w:rsidRDefault="00B66C60">
      <w:pPr>
        <w:pStyle w:val="normal0"/>
      </w:pPr>
    </w:p>
    <w:p w:rsidR="00B66C60" w:rsidRDefault="00B66C60">
      <w:pPr>
        <w:pStyle w:val="normal0"/>
      </w:pPr>
    </w:p>
    <w:p w:rsidR="00B66C60" w:rsidRDefault="00B66C60">
      <w:pPr>
        <w:pStyle w:val="normal0"/>
      </w:pPr>
    </w:p>
    <w:p w:rsidR="00B66C60" w:rsidRDefault="00B66C60">
      <w:pPr>
        <w:pStyle w:val="normal0"/>
      </w:pPr>
    </w:p>
    <w:p w:rsidR="00B66C60" w:rsidRDefault="00B66C60">
      <w:pPr>
        <w:pStyle w:val="normal0"/>
      </w:pPr>
    </w:p>
    <w:p w:rsidR="00B66C60" w:rsidRDefault="00B66C60">
      <w:pPr>
        <w:pStyle w:val="normal0"/>
      </w:pPr>
    </w:p>
    <w:p w:rsidR="00B66C60" w:rsidRDefault="00B66C60">
      <w:pPr>
        <w:pStyle w:val="normal0"/>
      </w:pPr>
    </w:p>
    <w:p w:rsidR="00B66C60" w:rsidRDefault="00B66C60">
      <w:pPr>
        <w:pStyle w:val="normal0"/>
      </w:pPr>
    </w:p>
    <w:p w:rsidR="00B66C60" w:rsidRDefault="00B66C60">
      <w:pPr>
        <w:pStyle w:val="normal0"/>
      </w:pPr>
    </w:p>
    <w:p w:rsidR="00B66C60" w:rsidRDefault="00B66C60">
      <w:pPr>
        <w:pStyle w:val="normal0"/>
      </w:pPr>
    </w:p>
    <w:p w:rsidR="00B66C60" w:rsidRDefault="00B66C60">
      <w:pPr>
        <w:pStyle w:val="normal0"/>
      </w:pPr>
    </w:p>
    <w:p w:rsidR="00B66C60" w:rsidRDefault="00B66C60">
      <w:pPr>
        <w:pStyle w:val="normal0"/>
      </w:pPr>
    </w:p>
    <w:p w:rsidR="00B66C60" w:rsidRDefault="00F60B4D">
      <w:pPr>
        <w:pStyle w:val="normal0"/>
      </w:pPr>
      <w:r>
        <w:rPr>
          <w:rFonts w:ascii="Times New Roman" w:eastAsia="Times New Roman" w:hAnsi="Times New Roman" w:cs="Times New Roman"/>
          <w:b/>
          <w:color w:val="434343"/>
          <w:sz w:val="24"/>
          <w:szCs w:val="24"/>
          <w:highlight w:val="white"/>
        </w:rPr>
        <w:t>Introduction</w:t>
      </w:r>
    </w:p>
    <w:p w:rsidR="00B66C60" w:rsidRDefault="00B66C60">
      <w:pPr>
        <w:pStyle w:val="normal0"/>
      </w:pPr>
    </w:p>
    <w:p w:rsidR="00B66C60" w:rsidRDefault="00F60B4D">
      <w:pPr>
        <w:pStyle w:val="normal0"/>
      </w:pPr>
      <w:r>
        <w:rPr>
          <w:rFonts w:ascii="Times New Roman" w:eastAsia="Times New Roman" w:hAnsi="Times New Roman" w:cs="Times New Roman"/>
          <w:color w:val="434343"/>
          <w:sz w:val="24"/>
          <w:szCs w:val="24"/>
          <w:highlight w:val="white"/>
        </w:rPr>
        <w:t>In today’s educational climate of 21st century learning, the integration of technology in mathematics and sciences is essential in equipping students for interacting effectively in the world around them. The premise that technology is not a separate subjec</w:t>
      </w:r>
      <w:r>
        <w:rPr>
          <w:rFonts w:ascii="Times New Roman" w:eastAsia="Times New Roman" w:hAnsi="Times New Roman" w:cs="Times New Roman"/>
          <w:color w:val="434343"/>
          <w:sz w:val="24"/>
          <w:szCs w:val="24"/>
          <w:highlight w:val="white"/>
        </w:rPr>
        <w:t xml:space="preserve">t area to be taught, but </w:t>
      </w:r>
      <w:r>
        <w:rPr>
          <w:rFonts w:ascii="Times New Roman" w:eastAsia="Times New Roman" w:hAnsi="Times New Roman" w:cs="Times New Roman"/>
          <w:color w:val="434343"/>
          <w:sz w:val="24"/>
          <w:szCs w:val="24"/>
          <w:highlight w:val="white"/>
        </w:rPr>
        <w:lastRenderedPageBreak/>
        <w:t xml:space="preserve">rather an integral part of a student’s mathematical and science learning experience, is found throughout the video cases and interviews explored in Lesson 2 of the </w:t>
      </w:r>
      <w:r>
        <w:rPr>
          <w:rFonts w:ascii="Times New Roman" w:eastAsia="Times New Roman" w:hAnsi="Times New Roman" w:cs="Times New Roman"/>
          <w:i/>
          <w:color w:val="434343"/>
          <w:sz w:val="24"/>
          <w:szCs w:val="24"/>
          <w:highlight w:val="white"/>
        </w:rPr>
        <w:t>ETEC 533: Technology in the Math and Science Classroom</w:t>
      </w:r>
      <w:r>
        <w:rPr>
          <w:rFonts w:ascii="Times New Roman" w:eastAsia="Times New Roman" w:hAnsi="Times New Roman" w:cs="Times New Roman"/>
          <w:color w:val="434343"/>
          <w:sz w:val="24"/>
          <w:szCs w:val="24"/>
          <w:highlight w:val="white"/>
        </w:rPr>
        <w:t xml:space="preserve"> course. Teac</w:t>
      </w:r>
      <w:r>
        <w:rPr>
          <w:rFonts w:ascii="Times New Roman" w:eastAsia="Times New Roman" w:hAnsi="Times New Roman" w:cs="Times New Roman"/>
          <w:color w:val="434343"/>
          <w:sz w:val="24"/>
          <w:szCs w:val="24"/>
          <w:highlight w:val="white"/>
        </w:rPr>
        <w:t xml:space="preserve">her T in Catherine </w:t>
      </w:r>
      <w:proofErr w:type="spellStart"/>
      <w:r>
        <w:rPr>
          <w:rFonts w:ascii="Times New Roman" w:eastAsia="Times New Roman" w:hAnsi="Times New Roman" w:cs="Times New Roman"/>
          <w:color w:val="434343"/>
          <w:sz w:val="24"/>
          <w:szCs w:val="24"/>
          <w:highlight w:val="white"/>
        </w:rPr>
        <w:t>Sverko’s</w:t>
      </w:r>
      <w:proofErr w:type="spellEnd"/>
      <w:r>
        <w:rPr>
          <w:rFonts w:ascii="Times New Roman" w:eastAsia="Times New Roman" w:hAnsi="Times New Roman" w:cs="Times New Roman"/>
          <w:color w:val="434343"/>
          <w:sz w:val="24"/>
          <w:szCs w:val="24"/>
          <w:highlight w:val="white"/>
        </w:rPr>
        <w:t xml:space="preserve"> interview states that “</w:t>
      </w:r>
      <w:r>
        <w:rPr>
          <w:rFonts w:ascii="Times New Roman" w:eastAsia="Times New Roman" w:hAnsi="Times New Roman" w:cs="Times New Roman"/>
          <w:color w:val="434343"/>
          <w:sz w:val="24"/>
          <w:szCs w:val="24"/>
        </w:rPr>
        <w:t>technology is not an inconvenience, or optional… [</w:t>
      </w:r>
      <w:proofErr w:type="gramStart"/>
      <w:r>
        <w:rPr>
          <w:rFonts w:ascii="Times New Roman" w:eastAsia="Times New Roman" w:hAnsi="Times New Roman" w:cs="Times New Roman"/>
          <w:color w:val="434343"/>
          <w:sz w:val="24"/>
          <w:szCs w:val="24"/>
        </w:rPr>
        <w:t>It]is</w:t>
      </w:r>
      <w:proofErr w:type="gramEnd"/>
      <w:r>
        <w:rPr>
          <w:rFonts w:ascii="Times New Roman" w:eastAsia="Times New Roman" w:hAnsi="Times New Roman" w:cs="Times New Roman"/>
          <w:color w:val="434343"/>
          <w:sz w:val="24"/>
          <w:szCs w:val="24"/>
        </w:rPr>
        <w:t xml:space="preserve"> part of our everyday learning” (</w:t>
      </w:r>
      <w:proofErr w:type="spellStart"/>
      <w:r>
        <w:rPr>
          <w:rFonts w:ascii="Times New Roman" w:eastAsia="Times New Roman" w:hAnsi="Times New Roman" w:cs="Times New Roman"/>
          <w:color w:val="434343"/>
          <w:sz w:val="24"/>
          <w:szCs w:val="24"/>
        </w:rPr>
        <w:t>Sverko</w:t>
      </w:r>
      <w:proofErr w:type="spellEnd"/>
      <w:r>
        <w:rPr>
          <w:rFonts w:ascii="Times New Roman" w:eastAsia="Times New Roman" w:hAnsi="Times New Roman" w:cs="Times New Roman"/>
          <w:color w:val="434343"/>
          <w:sz w:val="24"/>
          <w:szCs w:val="24"/>
        </w:rPr>
        <w:t>, 2017). This holistic approach is evidenced also in the Video Cases, particularly in instances of successful a</w:t>
      </w:r>
      <w:r>
        <w:rPr>
          <w:rFonts w:ascii="Times New Roman" w:eastAsia="Times New Roman" w:hAnsi="Times New Roman" w:cs="Times New Roman"/>
          <w:color w:val="434343"/>
          <w:sz w:val="24"/>
          <w:szCs w:val="24"/>
        </w:rPr>
        <w:t xml:space="preserve">nd effective technology integration as viewed in Case 1 and Case 3. </w:t>
      </w:r>
    </w:p>
    <w:p w:rsidR="00B66C60" w:rsidRDefault="00B66C60">
      <w:pPr>
        <w:pStyle w:val="normal0"/>
      </w:pPr>
    </w:p>
    <w:p w:rsidR="00B66C60" w:rsidRDefault="00F60B4D">
      <w:pPr>
        <w:pStyle w:val="normal0"/>
      </w:pPr>
      <w:r>
        <w:rPr>
          <w:rFonts w:ascii="Times New Roman" w:eastAsia="Times New Roman" w:hAnsi="Times New Roman" w:cs="Times New Roman"/>
          <w:color w:val="434343"/>
          <w:sz w:val="24"/>
          <w:szCs w:val="24"/>
        </w:rPr>
        <w:t xml:space="preserve">One of the themes threaded throughout the discussion among the ETEC533 </w:t>
      </w:r>
      <w:proofErr w:type="gramStart"/>
      <w:r>
        <w:rPr>
          <w:rFonts w:ascii="Times New Roman" w:eastAsia="Times New Roman" w:hAnsi="Times New Roman" w:cs="Times New Roman"/>
          <w:color w:val="434343"/>
          <w:sz w:val="24"/>
          <w:szCs w:val="24"/>
        </w:rPr>
        <w:t>students</w:t>
      </w:r>
      <w:proofErr w:type="gramEnd"/>
      <w:r>
        <w:rPr>
          <w:rFonts w:ascii="Times New Roman" w:eastAsia="Times New Roman" w:hAnsi="Times New Roman" w:cs="Times New Roman"/>
          <w:color w:val="434343"/>
          <w:sz w:val="24"/>
          <w:szCs w:val="24"/>
        </w:rPr>
        <w:t xml:space="preserve"> focuses on the teacher’s responsibility to embrace the inclusion of technology and figure out how to imple</w:t>
      </w:r>
      <w:r>
        <w:rPr>
          <w:rFonts w:ascii="Times New Roman" w:eastAsia="Times New Roman" w:hAnsi="Times New Roman" w:cs="Times New Roman"/>
          <w:color w:val="434343"/>
          <w:sz w:val="24"/>
          <w:szCs w:val="24"/>
        </w:rPr>
        <w:t xml:space="preserve">ment it appropriately. In Daniel </w:t>
      </w:r>
      <w:proofErr w:type="spellStart"/>
      <w:r>
        <w:rPr>
          <w:rFonts w:ascii="Times New Roman" w:eastAsia="Times New Roman" w:hAnsi="Times New Roman" w:cs="Times New Roman"/>
          <w:color w:val="434343"/>
          <w:sz w:val="24"/>
          <w:szCs w:val="24"/>
        </w:rPr>
        <w:t>Bosse’s</w:t>
      </w:r>
      <w:proofErr w:type="spellEnd"/>
      <w:r>
        <w:rPr>
          <w:rFonts w:ascii="Times New Roman" w:eastAsia="Times New Roman" w:hAnsi="Times New Roman" w:cs="Times New Roman"/>
          <w:color w:val="434343"/>
          <w:sz w:val="24"/>
          <w:szCs w:val="24"/>
        </w:rPr>
        <w:t xml:space="preserve"> interview, Teacher A is reported as </w:t>
      </w:r>
      <w:proofErr w:type="gramStart"/>
      <w:r>
        <w:rPr>
          <w:rFonts w:ascii="Times New Roman" w:eastAsia="Times New Roman" w:hAnsi="Times New Roman" w:cs="Times New Roman"/>
          <w:color w:val="434343"/>
          <w:sz w:val="24"/>
          <w:szCs w:val="24"/>
        </w:rPr>
        <w:t>stating that</w:t>
      </w:r>
      <w:proofErr w:type="gramEnd"/>
      <w:r>
        <w:rPr>
          <w:rFonts w:ascii="Times New Roman" w:eastAsia="Times New Roman" w:hAnsi="Times New Roman" w:cs="Times New Roman"/>
          <w:color w:val="434343"/>
          <w:sz w:val="24"/>
          <w:szCs w:val="24"/>
        </w:rPr>
        <w:t xml:space="preserve"> “most of the effective technology learning happening in his context was a result of informal learning from colleagues” (</w:t>
      </w:r>
      <w:proofErr w:type="spellStart"/>
      <w:r>
        <w:rPr>
          <w:rFonts w:ascii="Times New Roman" w:eastAsia="Times New Roman" w:hAnsi="Times New Roman" w:cs="Times New Roman"/>
          <w:color w:val="434343"/>
          <w:sz w:val="24"/>
          <w:szCs w:val="24"/>
        </w:rPr>
        <w:t>Bosse</w:t>
      </w:r>
      <w:proofErr w:type="spellEnd"/>
      <w:r>
        <w:rPr>
          <w:rFonts w:ascii="Times New Roman" w:eastAsia="Times New Roman" w:hAnsi="Times New Roman" w:cs="Times New Roman"/>
          <w:color w:val="434343"/>
          <w:sz w:val="24"/>
          <w:szCs w:val="24"/>
        </w:rPr>
        <w:t>, 2017). In Video Case 6, the general sci</w:t>
      </w:r>
      <w:r>
        <w:rPr>
          <w:rFonts w:ascii="Times New Roman" w:eastAsia="Times New Roman" w:hAnsi="Times New Roman" w:cs="Times New Roman"/>
          <w:color w:val="434343"/>
          <w:sz w:val="24"/>
          <w:szCs w:val="24"/>
        </w:rPr>
        <w:t>ence teacher states that “to be on the cutting edge, you need to learn on your own.” As a result of this call to self-education, the collected resources in the following annotated bibliography are intended to provide insight and guidelines to the teacher w</w:t>
      </w:r>
      <w:r>
        <w:rPr>
          <w:rFonts w:ascii="Times New Roman" w:eastAsia="Times New Roman" w:hAnsi="Times New Roman" w:cs="Times New Roman"/>
          <w:color w:val="434343"/>
          <w:sz w:val="24"/>
          <w:szCs w:val="24"/>
        </w:rPr>
        <w:t xml:space="preserve">ho is interested in designing and implementing seamless and holistic technology integration into math and science learning. </w:t>
      </w:r>
    </w:p>
    <w:p w:rsidR="00B66C60" w:rsidRDefault="00B66C60">
      <w:pPr>
        <w:pStyle w:val="normal0"/>
      </w:pPr>
    </w:p>
    <w:p w:rsidR="00B66C60" w:rsidRDefault="00F60B4D">
      <w:pPr>
        <w:pStyle w:val="normal0"/>
      </w:pPr>
      <w:r>
        <w:rPr>
          <w:rFonts w:ascii="Times New Roman" w:eastAsia="Times New Roman" w:hAnsi="Times New Roman" w:cs="Times New Roman"/>
          <w:color w:val="434343"/>
          <w:sz w:val="24"/>
          <w:szCs w:val="24"/>
        </w:rPr>
        <w:t xml:space="preserve">The integration of technology is critical in the teaching and learning </w:t>
      </w:r>
      <w:proofErr w:type="gramStart"/>
      <w:r>
        <w:rPr>
          <w:rFonts w:ascii="Times New Roman" w:eastAsia="Times New Roman" w:hAnsi="Times New Roman" w:cs="Times New Roman"/>
          <w:color w:val="434343"/>
          <w:sz w:val="24"/>
          <w:szCs w:val="24"/>
        </w:rPr>
        <w:t>of  mathematics</w:t>
      </w:r>
      <w:proofErr w:type="gramEnd"/>
      <w:r>
        <w:rPr>
          <w:rFonts w:ascii="Times New Roman" w:eastAsia="Times New Roman" w:hAnsi="Times New Roman" w:cs="Times New Roman"/>
          <w:color w:val="434343"/>
          <w:sz w:val="24"/>
          <w:szCs w:val="24"/>
        </w:rPr>
        <w:t xml:space="preserve"> and sciences as these subject areas “intera</w:t>
      </w:r>
      <w:r>
        <w:rPr>
          <w:rFonts w:ascii="Times New Roman" w:eastAsia="Times New Roman" w:hAnsi="Times New Roman" w:cs="Times New Roman"/>
          <w:color w:val="434343"/>
          <w:sz w:val="24"/>
          <w:szCs w:val="24"/>
        </w:rPr>
        <w:t>ct with one another in ways where each informs and challenges the other” (</w:t>
      </w:r>
      <w:proofErr w:type="spellStart"/>
      <w:r>
        <w:rPr>
          <w:rFonts w:ascii="Times New Roman" w:eastAsia="Times New Roman" w:hAnsi="Times New Roman" w:cs="Times New Roman"/>
          <w:color w:val="434343"/>
          <w:sz w:val="24"/>
          <w:szCs w:val="24"/>
        </w:rPr>
        <w:t>Sharkawy</w:t>
      </w:r>
      <w:proofErr w:type="spellEnd"/>
      <w:r>
        <w:rPr>
          <w:rFonts w:ascii="Times New Roman" w:eastAsia="Times New Roman" w:hAnsi="Times New Roman" w:cs="Times New Roman"/>
          <w:color w:val="434343"/>
          <w:sz w:val="24"/>
          <w:szCs w:val="24"/>
        </w:rPr>
        <w:t xml:space="preserve">, </w:t>
      </w:r>
      <w:proofErr w:type="spellStart"/>
      <w:r>
        <w:rPr>
          <w:rFonts w:ascii="Times New Roman" w:eastAsia="Times New Roman" w:hAnsi="Times New Roman" w:cs="Times New Roman"/>
          <w:color w:val="434343"/>
          <w:sz w:val="24"/>
          <w:szCs w:val="24"/>
        </w:rPr>
        <w:t>Barlex</w:t>
      </w:r>
      <w:proofErr w:type="spellEnd"/>
      <w:r>
        <w:rPr>
          <w:rFonts w:ascii="Times New Roman" w:eastAsia="Times New Roman" w:hAnsi="Times New Roman" w:cs="Times New Roman"/>
          <w:color w:val="434343"/>
          <w:sz w:val="24"/>
          <w:szCs w:val="24"/>
        </w:rPr>
        <w:t xml:space="preserve">, Welch, </w:t>
      </w:r>
      <w:proofErr w:type="spellStart"/>
      <w:r>
        <w:rPr>
          <w:rFonts w:ascii="Times New Roman" w:eastAsia="Times New Roman" w:hAnsi="Times New Roman" w:cs="Times New Roman"/>
          <w:color w:val="434343"/>
          <w:sz w:val="24"/>
          <w:szCs w:val="24"/>
        </w:rPr>
        <w:t>McDuff</w:t>
      </w:r>
      <w:proofErr w:type="spellEnd"/>
      <w:r>
        <w:rPr>
          <w:rFonts w:ascii="Times New Roman" w:eastAsia="Times New Roman" w:hAnsi="Times New Roman" w:cs="Times New Roman"/>
          <w:color w:val="434343"/>
          <w:sz w:val="24"/>
          <w:szCs w:val="24"/>
        </w:rPr>
        <w:t xml:space="preserve">, &amp; Craig, p. 13, 2009). As noted in </w:t>
      </w:r>
      <w:proofErr w:type="spellStart"/>
      <w:r>
        <w:rPr>
          <w:rFonts w:ascii="Times New Roman" w:eastAsia="Times New Roman" w:hAnsi="Times New Roman" w:cs="Times New Roman"/>
          <w:color w:val="434343"/>
          <w:sz w:val="24"/>
          <w:szCs w:val="24"/>
        </w:rPr>
        <w:t>Niess’s</w:t>
      </w:r>
      <w:proofErr w:type="spellEnd"/>
      <w:r>
        <w:rPr>
          <w:rFonts w:ascii="Times New Roman" w:eastAsia="Times New Roman" w:hAnsi="Times New Roman" w:cs="Times New Roman"/>
          <w:color w:val="434343"/>
          <w:sz w:val="24"/>
          <w:szCs w:val="24"/>
        </w:rPr>
        <w:t xml:space="preserve"> (2005) article, from the National Science Education Standards (1996) and the National Mathematics Educatio</w:t>
      </w:r>
      <w:r>
        <w:rPr>
          <w:rFonts w:ascii="Times New Roman" w:eastAsia="Times New Roman" w:hAnsi="Times New Roman" w:cs="Times New Roman"/>
          <w:color w:val="434343"/>
          <w:sz w:val="24"/>
          <w:szCs w:val="24"/>
        </w:rPr>
        <w:t>n Standards (2000), the following statements can be found respectively supporting an integrated technology learning space for mathematics and sciences: ‘‘The relationship between science and technology is so close that any presentation of science without d</w:t>
      </w:r>
      <w:r>
        <w:rPr>
          <w:rFonts w:ascii="Times New Roman" w:eastAsia="Times New Roman" w:hAnsi="Times New Roman" w:cs="Times New Roman"/>
          <w:color w:val="434343"/>
          <w:sz w:val="24"/>
          <w:szCs w:val="24"/>
        </w:rPr>
        <w:t>eveloping an understanding of technology would portray an inaccurate picture of science’’ (NRC, p. 190) and ‘‘[</w:t>
      </w:r>
      <w:proofErr w:type="gramStart"/>
      <w:r>
        <w:rPr>
          <w:rFonts w:ascii="Times New Roman" w:eastAsia="Times New Roman" w:hAnsi="Times New Roman" w:cs="Times New Roman"/>
          <w:color w:val="434343"/>
          <w:sz w:val="24"/>
          <w:szCs w:val="24"/>
        </w:rPr>
        <w:t>t]</w:t>
      </w:r>
      <w:proofErr w:type="spellStart"/>
      <w:r>
        <w:rPr>
          <w:rFonts w:ascii="Times New Roman" w:eastAsia="Times New Roman" w:hAnsi="Times New Roman" w:cs="Times New Roman"/>
          <w:color w:val="434343"/>
          <w:sz w:val="24"/>
          <w:szCs w:val="24"/>
        </w:rPr>
        <w:t>echnology</w:t>
      </w:r>
      <w:proofErr w:type="spellEnd"/>
      <w:proofErr w:type="gramEnd"/>
      <w:r>
        <w:rPr>
          <w:rFonts w:ascii="Times New Roman" w:eastAsia="Times New Roman" w:hAnsi="Times New Roman" w:cs="Times New Roman"/>
          <w:color w:val="434343"/>
          <w:sz w:val="24"/>
          <w:szCs w:val="24"/>
        </w:rPr>
        <w:t xml:space="preserve"> is essential in teaching and learning mathematics; it influences the mathematics that is taught and enhances students’ learning’’ (NC</w:t>
      </w:r>
      <w:r>
        <w:rPr>
          <w:rFonts w:ascii="Times New Roman" w:eastAsia="Times New Roman" w:hAnsi="Times New Roman" w:cs="Times New Roman"/>
          <w:color w:val="434343"/>
          <w:sz w:val="24"/>
          <w:szCs w:val="24"/>
        </w:rPr>
        <w:t xml:space="preserve">TM, p. 11).  </w:t>
      </w:r>
    </w:p>
    <w:p w:rsidR="00B66C60" w:rsidRDefault="00B66C60">
      <w:pPr>
        <w:pStyle w:val="normal0"/>
      </w:pPr>
    </w:p>
    <w:p w:rsidR="00B66C60" w:rsidRDefault="00B66C60">
      <w:pPr>
        <w:pStyle w:val="normal0"/>
      </w:pPr>
    </w:p>
    <w:p w:rsidR="00B66C60" w:rsidRDefault="00F60B4D">
      <w:pPr>
        <w:pStyle w:val="normal0"/>
      </w:pPr>
      <w:r>
        <w:rPr>
          <w:rFonts w:ascii="Times New Roman" w:eastAsia="Times New Roman" w:hAnsi="Times New Roman" w:cs="Times New Roman"/>
          <w:b/>
          <w:color w:val="434343"/>
          <w:sz w:val="24"/>
          <w:szCs w:val="24"/>
        </w:rPr>
        <w:t>Annotated Bibliography</w:t>
      </w:r>
    </w:p>
    <w:p w:rsidR="00B66C60" w:rsidRDefault="00B66C60">
      <w:pPr>
        <w:pStyle w:val="normal0"/>
      </w:pPr>
    </w:p>
    <w:p w:rsidR="00B66C60" w:rsidRDefault="00F60B4D">
      <w:pPr>
        <w:pStyle w:val="normal0"/>
      </w:pPr>
      <w:r>
        <w:rPr>
          <w:rFonts w:ascii="Times New Roman" w:eastAsia="Times New Roman" w:hAnsi="Times New Roman" w:cs="Times New Roman"/>
          <w:color w:val="434343"/>
          <w:sz w:val="24"/>
          <w:szCs w:val="24"/>
        </w:rPr>
        <w:t xml:space="preserve">In selecting the articles for the following Annotated Bibliography, the ETEC533 resource folders located on </w:t>
      </w:r>
      <w:proofErr w:type="spellStart"/>
      <w:r>
        <w:rPr>
          <w:rFonts w:ascii="Times New Roman" w:eastAsia="Times New Roman" w:hAnsi="Times New Roman" w:cs="Times New Roman"/>
          <w:color w:val="434343"/>
          <w:sz w:val="24"/>
          <w:szCs w:val="24"/>
        </w:rPr>
        <w:t>CiteULike</w:t>
      </w:r>
      <w:proofErr w:type="spellEnd"/>
      <w:r>
        <w:rPr>
          <w:rFonts w:ascii="Times New Roman" w:eastAsia="Times New Roman" w:hAnsi="Times New Roman" w:cs="Times New Roman"/>
          <w:color w:val="434343"/>
          <w:sz w:val="24"/>
          <w:szCs w:val="24"/>
        </w:rPr>
        <w:t xml:space="preserve"> were initially browsed, specifically Resource Folder 3: Learning With Computers, Resource Folder 7</w:t>
      </w:r>
      <w:r>
        <w:rPr>
          <w:rFonts w:ascii="Times New Roman" w:eastAsia="Times New Roman" w:hAnsi="Times New Roman" w:cs="Times New Roman"/>
          <w:color w:val="434343"/>
          <w:sz w:val="24"/>
          <w:szCs w:val="24"/>
        </w:rPr>
        <w:t>: Teachers and Educational Technology, and Resource Folder 10: Learning Space Design. To narrow the search further, the following keywords were searched: math, science, technology, and integration. Initially, all of the articles that contained a title indi</w:t>
      </w:r>
      <w:r>
        <w:rPr>
          <w:rFonts w:ascii="Times New Roman" w:eastAsia="Times New Roman" w:hAnsi="Times New Roman" w:cs="Times New Roman"/>
          <w:color w:val="434343"/>
          <w:sz w:val="24"/>
          <w:szCs w:val="24"/>
        </w:rPr>
        <w:t>cating technology integration in either math or science learning from grades K to 12 were gathered and then previewed. Some articles were difficult to access, while others did not focus directly on a technology integrated learning space as required for the</w:t>
      </w:r>
      <w:r>
        <w:rPr>
          <w:rFonts w:ascii="Times New Roman" w:eastAsia="Times New Roman" w:hAnsi="Times New Roman" w:cs="Times New Roman"/>
          <w:color w:val="434343"/>
          <w:sz w:val="24"/>
          <w:szCs w:val="24"/>
        </w:rPr>
        <w:t xml:space="preserve"> purposes of this annotated bibliography, and hence were discarded. Both the articles by </w:t>
      </w:r>
      <w:proofErr w:type="spellStart"/>
      <w:r>
        <w:rPr>
          <w:rFonts w:ascii="Times New Roman" w:eastAsia="Times New Roman" w:hAnsi="Times New Roman" w:cs="Times New Roman"/>
          <w:color w:val="434343"/>
          <w:sz w:val="24"/>
          <w:szCs w:val="24"/>
        </w:rPr>
        <w:t>Niess</w:t>
      </w:r>
      <w:proofErr w:type="spellEnd"/>
      <w:r>
        <w:rPr>
          <w:rFonts w:ascii="Times New Roman" w:eastAsia="Times New Roman" w:hAnsi="Times New Roman" w:cs="Times New Roman"/>
          <w:color w:val="434343"/>
          <w:sz w:val="24"/>
          <w:szCs w:val="24"/>
        </w:rPr>
        <w:t xml:space="preserve"> (2005) and </w:t>
      </w:r>
      <w:proofErr w:type="spellStart"/>
      <w:r>
        <w:rPr>
          <w:rFonts w:ascii="Times New Roman" w:eastAsia="Times New Roman" w:hAnsi="Times New Roman" w:cs="Times New Roman"/>
          <w:color w:val="434343"/>
          <w:sz w:val="24"/>
          <w:szCs w:val="24"/>
        </w:rPr>
        <w:t>Sharkawy</w:t>
      </w:r>
      <w:proofErr w:type="spellEnd"/>
      <w:r>
        <w:rPr>
          <w:rFonts w:ascii="Times New Roman" w:eastAsia="Times New Roman" w:hAnsi="Times New Roman" w:cs="Times New Roman"/>
          <w:color w:val="434343"/>
          <w:sz w:val="24"/>
          <w:szCs w:val="24"/>
        </w:rPr>
        <w:t xml:space="preserve">, </w:t>
      </w:r>
      <w:proofErr w:type="spellStart"/>
      <w:r>
        <w:rPr>
          <w:rFonts w:ascii="Times New Roman" w:eastAsia="Times New Roman" w:hAnsi="Times New Roman" w:cs="Times New Roman"/>
          <w:color w:val="434343"/>
          <w:sz w:val="24"/>
          <w:szCs w:val="24"/>
        </w:rPr>
        <w:t>Barlex</w:t>
      </w:r>
      <w:proofErr w:type="spellEnd"/>
      <w:r>
        <w:rPr>
          <w:rFonts w:ascii="Times New Roman" w:eastAsia="Times New Roman" w:hAnsi="Times New Roman" w:cs="Times New Roman"/>
          <w:color w:val="434343"/>
          <w:sz w:val="24"/>
          <w:szCs w:val="24"/>
        </w:rPr>
        <w:t xml:space="preserve">, Welch, </w:t>
      </w:r>
      <w:proofErr w:type="spellStart"/>
      <w:r>
        <w:rPr>
          <w:rFonts w:ascii="Times New Roman" w:eastAsia="Times New Roman" w:hAnsi="Times New Roman" w:cs="Times New Roman"/>
          <w:color w:val="434343"/>
          <w:sz w:val="24"/>
          <w:szCs w:val="24"/>
        </w:rPr>
        <w:t>McDuff</w:t>
      </w:r>
      <w:proofErr w:type="spellEnd"/>
      <w:r>
        <w:rPr>
          <w:rFonts w:ascii="Times New Roman" w:eastAsia="Times New Roman" w:hAnsi="Times New Roman" w:cs="Times New Roman"/>
          <w:color w:val="434343"/>
          <w:sz w:val="24"/>
          <w:szCs w:val="24"/>
        </w:rPr>
        <w:t xml:space="preserve"> and Craig (2009) were accessed through </w:t>
      </w:r>
      <w:proofErr w:type="spellStart"/>
      <w:r>
        <w:rPr>
          <w:rFonts w:ascii="Times New Roman" w:eastAsia="Times New Roman" w:hAnsi="Times New Roman" w:cs="Times New Roman"/>
          <w:color w:val="434343"/>
          <w:sz w:val="24"/>
          <w:szCs w:val="24"/>
        </w:rPr>
        <w:t>CiteULike</w:t>
      </w:r>
      <w:proofErr w:type="spellEnd"/>
      <w:r>
        <w:rPr>
          <w:rFonts w:ascii="Times New Roman" w:eastAsia="Times New Roman" w:hAnsi="Times New Roman" w:cs="Times New Roman"/>
          <w:color w:val="434343"/>
          <w:sz w:val="24"/>
          <w:szCs w:val="24"/>
        </w:rPr>
        <w:t xml:space="preserve"> and contained applicable </w:t>
      </w:r>
      <w:r>
        <w:rPr>
          <w:rFonts w:ascii="Times New Roman" w:eastAsia="Times New Roman" w:hAnsi="Times New Roman" w:cs="Times New Roman"/>
          <w:color w:val="434343"/>
          <w:sz w:val="24"/>
          <w:szCs w:val="24"/>
        </w:rPr>
        <w:lastRenderedPageBreak/>
        <w:t>content. The UBC online Library was also sea</w:t>
      </w:r>
      <w:r>
        <w:rPr>
          <w:rFonts w:ascii="Times New Roman" w:eastAsia="Times New Roman" w:hAnsi="Times New Roman" w:cs="Times New Roman"/>
          <w:color w:val="434343"/>
          <w:sz w:val="24"/>
          <w:szCs w:val="24"/>
        </w:rPr>
        <w:t xml:space="preserve">rched using similar keywords. Again, several articles were gathered and then previewed. For this annotated bibliography, a recently published article by Clements and </w:t>
      </w:r>
      <w:proofErr w:type="spellStart"/>
      <w:r>
        <w:rPr>
          <w:rFonts w:ascii="Times New Roman" w:eastAsia="Times New Roman" w:hAnsi="Times New Roman" w:cs="Times New Roman"/>
          <w:color w:val="434343"/>
          <w:sz w:val="24"/>
          <w:szCs w:val="24"/>
        </w:rPr>
        <w:t>Sarama</w:t>
      </w:r>
      <w:proofErr w:type="spellEnd"/>
      <w:r>
        <w:rPr>
          <w:rFonts w:ascii="Times New Roman" w:eastAsia="Times New Roman" w:hAnsi="Times New Roman" w:cs="Times New Roman"/>
          <w:color w:val="434343"/>
          <w:sz w:val="24"/>
          <w:szCs w:val="24"/>
        </w:rPr>
        <w:t xml:space="preserve"> (2016) was selected through the UBC online Library because it focuses on a younger </w:t>
      </w:r>
      <w:r>
        <w:rPr>
          <w:rFonts w:ascii="Times New Roman" w:eastAsia="Times New Roman" w:hAnsi="Times New Roman" w:cs="Times New Roman"/>
          <w:color w:val="434343"/>
          <w:sz w:val="24"/>
          <w:szCs w:val="24"/>
        </w:rPr>
        <w:t xml:space="preserve">demographic of learners. This inclusion provides a rounding out of selected resources with insights on technology integration ranging from preschool to </w:t>
      </w:r>
      <w:proofErr w:type="spellStart"/>
      <w:r>
        <w:rPr>
          <w:rFonts w:ascii="Times New Roman" w:eastAsia="Times New Roman" w:hAnsi="Times New Roman" w:cs="Times New Roman"/>
          <w:color w:val="434343"/>
          <w:sz w:val="24"/>
          <w:szCs w:val="24"/>
        </w:rPr>
        <w:t>highschool</w:t>
      </w:r>
      <w:proofErr w:type="spellEnd"/>
      <w:r>
        <w:rPr>
          <w:rFonts w:ascii="Times New Roman" w:eastAsia="Times New Roman" w:hAnsi="Times New Roman" w:cs="Times New Roman"/>
          <w:color w:val="434343"/>
          <w:sz w:val="24"/>
          <w:szCs w:val="24"/>
        </w:rPr>
        <w:t xml:space="preserve"> learning spaces.</w:t>
      </w:r>
      <w:r>
        <w:rPr>
          <w:rFonts w:ascii="Times New Roman" w:eastAsia="Times New Roman" w:hAnsi="Times New Roman" w:cs="Times New Roman"/>
          <w:color w:val="434343"/>
          <w:sz w:val="24"/>
          <w:szCs w:val="24"/>
        </w:rPr>
        <w:tab/>
      </w:r>
    </w:p>
    <w:p w:rsidR="00B66C60" w:rsidRDefault="00B66C60">
      <w:pPr>
        <w:pStyle w:val="normal0"/>
      </w:pPr>
    </w:p>
    <w:p w:rsidR="00B66C60" w:rsidRDefault="00B66C60">
      <w:pPr>
        <w:pStyle w:val="normal0"/>
      </w:pPr>
    </w:p>
    <w:p w:rsidR="00B66C60" w:rsidRDefault="00F60B4D">
      <w:pPr>
        <w:pStyle w:val="normal0"/>
      </w:pPr>
      <w:r>
        <w:rPr>
          <w:rFonts w:ascii="Times New Roman" w:eastAsia="Times New Roman" w:hAnsi="Times New Roman" w:cs="Times New Roman"/>
          <w:color w:val="434343"/>
          <w:sz w:val="24"/>
          <w:szCs w:val="24"/>
        </w:rPr>
        <w:t xml:space="preserve">Clements, D., &amp; </w:t>
      </w:r>
      <w:proofErr w:type="spellStart"/>
      <w:r>
        <w:rPr>
          <w:rFonts w:ascii="Times New Roman" w:eastAsia="Times New Roman" w:hAnsi="Times New Roman" w:cs="Times New Roman"/>
          <w:color w:val="434343"/>
          <w:sz w:val="24"/>
          <w:szCs w:val="24"/>
        </w:rPr>
        <w:t>Sarama</w:t>
      </w:r>
      <w:proofErr w:type="spellEnd"/>
      <w:r>
        <w:rPr>
          <w:rFonts w:ascii="Times New Roman" w:eastAsia="Times New Roman" w:hAnsi="Times New Roman" w:cs="Times New Roman"/>
          <w:color w:val="434343"/>
          <w:sz w:val="24"/>
          <w:szCs w:val="24"/>
        </w:rPr>
        <w:t xml:space="preserve">, J. (2016). </w:t>
      </w:r>
      <w:proofErr w:type="gramStart"/>
      <w:r>
        <w:rPr>
          <w:rFonts w:ascii="Times New Roman" w:eastAsia="Times New Roman" w:hAnsi="Times New Roman" w:cs="Times New Roman"/>
          <w:color w:val="434343"/>
          <w:sz w:val="24"/>
          <w:szCs w:val="24"/>
        </w:rPr>
        <w:t>Math, Science, and Technology in the E</w:t>
      </w:r>
      <w:r>
        <w:rPr>
          <w:rFonts w:ascii="Times New Roman" w:eastAsia="Times New Roman" w:hAnsi="Times New Roman" w:cs="Times New Roman"/>
          <w:color w:val="434343"/>
          <w:sz w:val="24"/>
          <w:szCs w:val="24"/>
        </w:rPr>
        <w:t>arly Grades.</w:t>
      </w:r>
      <w:proofErr w:type="gramEnd"/>
      <w:r>
        <w:rPr>
          <w:rFonts w:ascii="Times New Roman" w:eastAsia="Times New Roman" w:hAnsi="Times New Roman" w:cs="Times New Roman"/>
          <w:color w:val="434343"/>
          <w:sz w:val="24"/>
          <w:szCs w:val="24"/>
        </w:rPr>
        <w:t xml:space="preserve"> </w:t>
      </w:r>
      <w:r>
        <w:rPr>
          <w:rFonts w:ascii="Times New Roman" w:eastAsia="Times New Roman" w:hAnsi="Times New Roman" w:cs="Times New Roman"/>
          <w:i/>
          <w:color w:val="434343"/>
          <w:sz w:val="24"/>
          <w:szCs w:val="24"/>
        </w:rPr>
        <w:t>The</w:t>
      </w:r>
    </w:p>
    <w:p w:rsidR="00B66C60" w:rsidRDefault="00F60B4D">
      <w:pPr>
        <w:pStyle w:val="normal0"/>
        <w:ind w:left="720"/>
      </w:pPr>
      <w:proofErr w:type="gramStart"/>
      <w:r>
        <w:rPr>
          <w:rFonts w:ascii="Times New Roman" w:eastAsia="Times New Roman" w:hAnsi="Times New Roman" w:cs="Times New Roman"/>
          <w:i/>
          <w:color w:val="434343"/>
          <w:sz w:val="24"/>
          <w:szCs w:val="24"/>
        </w:rPr>
        <w:t>Future of Children,</w:t>
      </w:r>
      <w:r>
        <w:rPr>
          <w:rFonts w:ascii="Times New Roman" w:eastAsia="Times New Roman" w:hAnsi="Times New Roman" w:cs="Times New Roman"/>
          <w:color w:val="434343"/>
          <w:sz w:val="24"/>
          <w:szCs w:val="24"/>
        </w:rPr>
        <w:t xml:space="preserve"> </w:t>
      </w:r>
      <w:r>
        <w:rPr>
          <w:rFonts w:ascii="Times New Roman" w:eastAsia="Times New Roman" w:hAnsi="Times New Roman" w:cs="Times New Roman"/>
          <w:i/>
          <w:color w:val="434343"/>
          <w:sz w:val="24"/>
          <w:szCs w:val="24"/>
        </w:rPr>
        <w:t>26</w:t>
      </w:r>
      <w:r>
        <w:rPr>
          <w:rFonts w:ascii="Times New Roman" w:eastAsia="Times New Roman" w:hAnsi="Times New Roman" w:cs="Times New Roman"/>
          <w:color w:val="434343"/>
          <w:sz w:val="24"/>
          <w:szCs w:val="24"/>
        </w:rPr>
        <w:t>(2), 75-94.</w:t>
      </w:r>
      <w:proofErr w:type="gramEnd"/>
      <w:r>
        <w:rPr>
          <w:rFonts w:ascii="Times New Roman" w:eastAsia="Times New Roman" w:hAnsi="Times New Roman" w:cs="Times New Roman"/>
          <w:color w:val="434343"/>
          <w:sz w:val="24"/>
          <w:szCs w:val="24"/>
        </w:rPr>
        <w:t xml:space="preserve"> Retrieved from </w:t>
      </w:r>
      <w:hyperlink r:id="rId8">
        <w:r>
          <w:rPr>
            <w:rFonts w:ascii="Times New Roman" w:eastAsia="Times New Roman" w:hAnsi="Times New Roman" w:cs="Times New Roman"/>
            <w:color w:val="434343"/>
            <w:sz w:val="24"/>
            <w:szCs w:val="24"/>
          </w:rPr>
          <w:t>http://www.jstor.org.ezproxy.library.ubc.ca/stable/43940582</w:t>
        </w:r>
      </w:hyperlink>
    </w:p>
    <w:p w:rsidR="00B66C60" w:rsidRDefault="00B66C60">
      <w:pPr>
        <w:pStyle w:val="normal0"/>
      </w:pPr>
    </w:p>
    <w:p w:rsidR="00B66C60" w:rsidRDefault="00F60B4D">
      <w:pPr>
        <w:pStyle w:val="normal0"/>
        <w:ind w:left="720"/>
      </w:pPr>
      <w:r>
        <w:rPr>
          <w:rFonts w:ascii="Times New Roman" w:eastAsia="Times New Roman" w:hAnsi="Times New Roman" w:cs="Times New Roman"/>
          <w:color w:val="434343"/>
          <w:sz w:val="24"/>
          <w:szCs w:val="24"/>
        </w:rPr>
        <w:t>This recently published article is informative as it focuses on a younger group of learners, those from preschool to grade three, and the effects of structured STEM-based learning. The premise of this writing is to address the appropriateness of STEM activ</w:t>
      </w:r>
      <w:r>
        <w:rPr>
          <w:rFonts w:ascii="Times New Roman" w:eastAsia="Times New Roman" w:hAnsi="Times New Roman" w:cs="Times New Roman"/>
          <w:color w:val="434343"/>
          <w:sz w:val="24"/>
          <w:szCs w:val="24"/>
        </w:rPr>
        <w:t>ities within this grade range. The authors examine this issue by reviewing research literature that explores the implementation of STEM activities within a learning space. One of the authors, Douglas H. Clements, is also the developer of a math program cal</w:t>
      </w:r>
      <w:r>
        <w:rPr>
          <w:rFonts w:ascii="Times New Roman" w:eastAsia="Times New Roman" w:hAnsi="Times New Roman" w:cs="Times New Roman"/>
          <w:color w:val="434343"/>
          <w:sz w:val="24"/>
          <w:szCs w:val="24"/>
        </w:rPr>
        <w:t xml:space="preserve">led Building </w:t>
      </w:r>
      <w:proofErr w:type="gramStart"/>
      <w:r>
        <w:rPr>
          <w:rFonts w:ascii="Times New Roman" w:eastAsia="Times New Roman" w:hAnsi="Times New Roman" w:cs="Times New Roman"/>
          <w:color w:val="434343"/>
          <w:sz w:val="24"/>
          <w:szCs w:val="24"/>
        </w:rPr>
        <w:t xml:space="preserve">Blocks ( </w:t>
      </w:r>
      <w:proofErr w:type="gramEnd"/>
      <w:r>
        <w:fldChar w:fldCharType="begin"/>
      </w:r>
      <w:r>
        <w:instrText xml:space="preserve"> HYPERLINK "http://www.ubbuildingblocks.org/" \h </w:instrText>
      </w:r>
      <w:r>
        <w:fldChar w:fldCharType="separate"/>
      </w:r>
      <w:r>
        <w:rPr>
          <w:rFonts w:ascii="Times New Roman" w:eastAsia="Times New Roman" w:hAnsi="Times New Roman" w:cs="Times New Roman"/>
          <w:color w:val="434343"/>
          <w:sz w:val="24"/>
          <w:szCs w:val="24"/>
          <w:u w:val="single"/>
        </w:rPr>
        <w:t>www.ubbuildingblocks.org/</w:t>
      </w:r>
      <w:r>
        <w:rPr>
          <w:rFonts w:ascii="Times New Roman" w:eastAsia="Times New Roman" w:hAnsi="Times New Roman" w:cs="Times New Roman"/>
          <w:color w:val="434343"/>
          <w:sz w:val="24"/>
          <w:szCs w:val="24"/>
          <w:u w:val="single"/>
        </w:rPr>
        <w:fldChar w:fldCharType="end"/>
      </w:r>
      <w:r>
        <w:rPr>
          <w:rFonts w:ascii="Times New Roman" w:eastAsia="Times New Roman" w:hAnsi="Times New Roman" w:cs="Times New Roman"/>
          <w:color w:val="434343"/>
          <w:sz w:val="24"/>
          <w:szCs w:val="24"/>
        </w:rPr>
        <w:t xml:space="preserve"> ). Studies observed with children using the Building Blocks program are largely considered throughout the article, leading to some concern of biases and pro</w:t>
      </w:r>
      <w:r>
        <w:rPr>
          <w:rFonts w:ascii="Times New Roman" w:eastAsia="Times New Roman" w:hAnsi="Times New Roman" w:cs="Times New Roman"/>
          <w:color w:val="434343"/>
          <w:sz w:val="24"/>
          <w:szCs w:val="24"/>
        </w:rPr>
        <w:t xml:space="preserve">motional intents within the writing. That being said, other STEM related programs and instructional tools are mentioned and supported throughout the article as well. </w:t>
      </w:r>
    </w:p>
    <w:p w:rsidR="00B66C60" w:rsidRDefault="00B66C60">
      <w:pPr>
        <w:pStyle w:val="normal0"/>
        <w:ind w:left="720"/>
      </w:pPr>
    </w:p>
    <w:p w:rsidR="00B66C60" w:rsidRDefault="00F60B4D">
      <w:pPr>
        <w:pStyle w:val="normal0"/>
        <w:ind w:left="720"/>
      </w:pPr>
      <w:r>
        <w:rPr>
          <w:rFonts w:ascii="Times New Roman" w:eastAsia="Times New Roman" w:hAnsi="Times New Roman" w:cs="Times New Roman"/>
          <w:color w:val="434343"/>
          <w:sz w:val="24"/>
          <w:szCs w:val="24"/>
        </w:rPr>
        <w:t>The authors strongly favour the implementation of a structured math and science program at early grade levels with student achievement tests supporting this standpoint. As stated, “[</w:t>
      </w:r>
      <w:proofErr w:type="gramStart"/>
      <w:r>
        <w:rPr>
          <w:rFonts w:ascii="Times New Roman" w:eastAsia="Times New Roman" w:hAnsi="Times New Roman" w:cs="Times New Roman"/>
          <w:color w:val="434343"/>
          <w:sz w:val="24"/>
          <w:szCs w:val="24"/>
        </w:rPr>
        <w:t>t]</w:t>
      </w:r>
      <w:proofErr w:type="spellStart"/>
      <w:r>
        <w:rPr>
          <w:rFonts w:ascii="Times New Roman" w:eastAsia="Times New Roman" w:hAnsi="Times New Roman" w:cs="Times New Roman"/>
          <w:color w:val="434343"/>
          <w:sz w:val="24"/>
          <w:szCs w:val="24"/>
        </w:rPr>
        <w:t>eachers</w:t>
      </w:r>
      <w:proofErr w:type="spellEnd"/>
      <w:proofErr w:type="gramEnd"/>
      <w:r>
        <w:rPr>
          <w:rFonts w:ascii="Times New Roman" w:eastAsia="Times New Roman" w:hAnsi="Times New Roman" w:cs="Times New Roman"/>
          <w:color w:val="434343"/>
          <w:sz w:val="24"/>
          <w:szCs w:val="24"/>
        </w:rPr>
        <w:t xml:space="preserve"> often believe they are ‘doing math’ through puzzles, blocks and </w:t>
      </w:r>
      <w:r>
        <w:rPr>
          <w:rFonts w:ascii="Times New Roman" w:eastAsia="Times New Roman" w:hAnsi="Times New Roman" w:cs="Times New Roman"/>
          <w:color w:val="434343"/>
          <w:sz w:val="24"/>
          <w:szCs w:val="24"/>
        </w:rPr>
        <w:t>songs. But even when such activities do include mathematics, it’s not the main focus; instead, math is embedded in reading or a fine-motor activity. Evidence suggests that such an approach is ineffective” (p.79). Using a learning trajectory model that incl</w:t>
      </w:r>
      <w:r>
        <w:rPr>
          <w:rFonts w:ascii="Times New Roman" w:eastAsia="Times New Roman" w:hAnsi="Times New Roman" w:cs="Times New Roman"/>
          <w:color w:val="434343"/>
          <w:sz w:val="24"/>
          <w:szCs w:val="24"/>
        </w:rPr>
        <w:t>udes goals (STEM content), developmental progression and instructional activities is promoted throughout the article to provide a structured approach to teaching all areas of STEM.  As well, the implementation of what is called the TRIAD model (technology-</w:t>
      </w:r>
      <w:r>
        <w:rPr>
          <w:rFonts w:ascii="Times New Roman" w:eastAsia="Times New Roman" w:hAnsi="Times New Roman" w:cs="Times New Roman"/>
          <w:color w:val="434343"/>
          <w:sz w:val="24"/>
          <w:szCs w:val="24"/>
        </w:rPr>
        <w:t>enhanced, research-based instruction, assessment, and professional development) has proven to show a substantial increase in student achievement. As concluded by the authors, younger students are capable of learning and understanding more complex STEM conc</w:t>
      </w:r>
      <w:r>
        <w:rPr>
          <w:rFonts w:ascii="Times New Roman" w:eastAsia="Times New Roman" w:hAnsi="Times New Roman" w:cs="Times New Roman"/>
          <w:color w:val="434343"/>
          <w:sz w:val="24"/>
          <w:szCs w:val="24"/>
        </w:rPr>
        <w:t>epts. As stated, “[</w:t>
      </w:r>
      <w:proofErr w:type="gramStart"/>
      <w:r>
        <w:rPr>
          <w:rFonts w:ascii="Times New Roman" w:eastAsia="Times New Roman" w:hAnsi="Times New Roman" w:cs="Times New Roman"/>
          <w:color w:val="434343"/>
          <w:sz w:val="24"/>
          <w:szCs w:val="24"/>
        </w:rPr>
        <w:t>s]</w:t>
      </w:r>
      <w:proofErr w:type="spellStart"/>
      <w:r>
        <w:rPr>
          <w:rFonts w:ascii="Times New Roman" w:eastAsia="Times New Roman" w:hAnsi="Times New Roman" w:cs="Times New Roman"/>
          <w:color w:val="434343"/>
          <w:sz w:val="24"/>
          <w:szCs w:val="24"/>
        </w:rPr>
        <w:t>tudents</w:t>
      </w:r>
      <w:proofErr w:type="spellEnd"/>
      <w:proofErr w:type="gramEnd"/>
      <w:r>
        <w:rPr>
          <w:rFonts w:ascii="Times New Roman" w:eastAsia="Times New Roman" w:hAnsi="Times New Roman" w:cs="Times New Roman"/>
          <w:color w:val="434343"/>
          <w:sz w:val="24"/>
          <w:szCs w:val="24"/>
        </w:rPr>
        <w:t xml:space="preserve"> who have fluent and adaptive competencies can propose problems, make connections, and then work out solutions” (p.80). The biggest hurdle to overcome, as noted by the authors, is that there is still “much to learn about teachin</w:t>
      </w:r>
      <w:r>
        <w:rPr>
          <w:rFonts w:ascii="Times New Roman" w:eastAsia="Times New Roman" w:hAnsi="Times New Roman" w:cs="Times New Roman"/>
          <w:color w:val="434343"/>
          <w:sz w:val="24"/>
          <w:szCs w:val="24"/>
        </w:rPr>
        <w:t xml:space="preserve">g certain topics in STEM and about the characteristics of curriculum development and professional </w:t>
      </w:r>
      <w:r>
        <w:rPr>
          <w:rFonts w:ascii="Times New Roman" w:eastAsia="Times New Roman" w:hAnsi="Times New Roman" w:cs="Times New Roman"/>
          <w:color w:val="434343"/>
          <w:sz w:val="24"/>
          <w:szCs w:val="24"/>
        </w:rPr>
        <w:lastRenderedPageBreak/>
        <w:t xml:space="preserve">development that will let children realize their full potential in these critical subjects” (p.91). </w:t>
      </w:r>
    </w:p>
    <w:p w:rsidR="00B66C60" w:rsidRDefault="00B66C60">
      <w:pPr>
        <w:pStyle w:val="normal0"/>
      </w:pPr>
    </w:p>
    <w:p w:rsidR="00B66C60" w:rsidRDefault="00B66C60">
      <w:pPr>
        <w:pStyle w:val="normal0"/>
      </w:pPr>
    </w:p>
    <w:p w:rsidR="00B66C60" w:rsidRDefault="00B66C60">
      <w:pPr>
        <w:pStyle w:val="normal0"/>
      </w:pPr>
    </w:p>
    <w:p w:rsidR="00B66C60" w:rsidRDefault="00F60B4D">
      <w:pPr>
        <w:pStyle w:val="normal0"/>
      </w:pPr>
      <w:proofErr w:type="spellStart"/>
      <w:proofErr w:type="gramStart"/>
      <w:r>
        <w:rPr>
          <w:rFonts w:ascii="Times New Roman" w:eastAsia="Times New Roman" w:hAnsi="Times New Roman" w:cs="Times New Roman"/>
          <w:color w:val="434343"/>
          <w:sz w:val="24"/>
          <w:szCs w:val="24"/>
        </w:rPr>
        <w:t>Niess</w:t>
      </w:r>
      <w:proofErr w:type="spellEnd"/>
      <w:r>
        <w:rPr>
          <w:rFonts w:ascii="Times New Roman" w:eastAsia="Times New Roman" w:hAnsi="Times New Roman" w:cs="Times New Roman"/>
          <w:color w:val="434343"/>
          <w:sz w:val="24"/>
          <w:szCs w:val="24"/>
        </w:rPr>
        <w:t>, M. L. (2005).</w:t>
      </w:r>
      <w:proofErr w:type="gramEnd"/>
      <w:r>
        <w:rPr>
          <w:rFonts w:ascii="Times New Roman" w:eastAsia="Times New Roman" w:hAnsi="Times New Roman" w:cs="Times New Roman"/>
          <w:color w:val="434343"/>
          <w:sz w:val="24"/>
          <w:szCs w:val="24"/>
        </w:rPr>
        <w:t xml:space="preserve"> Preparing teachers to teach scien</w:t>
      </w:r>
      <w:r>
        <w:rPr>
          <w:rFonts w:ascii="Times New Roman" w:eastAsia="Times New Roman" w:hAnsi="Times New Roman" w:cs="Times New Roman"/>
          <w:color w:val="434343"/>
          <w:sz w:val="24"/>
          <w:szCs w:val="24"/>
        </w:rPr>
        <w:t>ce and mathematics with technology:</w:t>
      </w:r>
    </w:p>
    <w:p w:rsidR="00B66C60" w:rsidRDefault="00F60B4D">
      <w:pPr>
        <w:pStyle w:val="normal0"/>
        <w:ind w:firstLine="720"/>
      </w:pPr>
      <w:r>
        <w:rPr>
          <w:rFonts w:ascii="Times New Roman" w:eastAsia="Times New Roman" w:hAnsi="Times New Roman" w:cs="Times New Roman"/>
          <w:color w:val="434343"/>
          <w:sz w:val="24"/>
          <w:szCs w:val="24"/>
        </w:rPr>
        <w:t>Developing a technology pedagogical content knowledge. 21(5)</w:t>
      </w:r>
      <w:proofErr w:type="gramStart"/>
      <w:r>
        <w:rPr>
          <w:rFonts w:ascii="Times New Roman" w:eastAsia="Times New Roman" w:hAnsi="Times New Roman" w:cs="Times New Roman"/>
          <w:color w:val="434343"/>
          <w:sz w:val="24"/>
          <w:szCs w:val="24"/>
        </w:rPr>
        <w:t>:509</w:t>
      </w:r>
      <w:proofErr w:type="gramEnd"/>
      <w:r>
        <w:rPr>
          <w:rFonts w:ascii="Times New Roman" w:eastAsia="Times New Roman" w:hAnsi="Times New Roman" w:cs="Times New Roman"/>
          <w:color w:val="434343"/>
          <w:sz w:val="24"/>
          <w:szCs w:val="24"/>
        </w:rPr>
        <w:t xml:space="preserve">–523. </w:t>
      </w:r>
    </w:p>
    <w:p w:rsidR="00B66C60" w:rsidRDefault="00B66C60">
      <w:pPr>
        <w:pStyle w:val="normal0"/>
      </w:pPr>
    </w:p>
    <w:p w:rsidR="00B66C60" w:rsidRDefault="00F60B4D">
      <w:pPr>
        <w:pStyle w:val="normal0"/>
        <w:ind w:left="720"/>
      </w:pPr>
      <w:r>
        <w:rPr>
          <w:rFonts w:ascii="Times New Roman" w:eastAsia="Times New Roman" w:hAnsi="Times New Roman" w:cs="Times New Roman"/>
          <w:color w:val="434343"/>
          <w:sz w:val="24"/>
          <w:szCs w:val="24"/>
        </w:rPr>
        <w:t>This case study focuses on observing five student teachers in middle school and high school practicums assigned to either a science or mathematics c</w:t>
      </w:r>
      <w:r>
        <w:rPr>
          <w:rFonts w:ascii="Times New Roman" w:eastAsia="Times New Roman" w:hAnsi="Times New Roman" w:cs="Times New Roman"/>
          <w:color w:val="434343"/>
          <w:sz w:val="24"/>
          <w:szCs w:val="24"/>
        </w:rPr>
        <w:t>lass. The teacher preparation program has incorporated a TPCK (technology-enhanced pedagogical content knowledge) approach for the purposes of encouraging technology integration into the student teachers’ mindset and teaching practices. The case study focu</w:t>
      </w:r>
      <w:r>
        <w:rPr>
          <w:rFonts w:ascii="Times New Roman" w:eastAsia="Times New Roman" w:hAnsi="Times New Roman" w:cs="Times New Roman"/>
          <w:color w:val="434343"/>
          <w:sz w:val="24"/>
          <w:szCs w:val="24"/>
        </w:rPr>
        <w:t>ses on a single lesson that each student teacher is required to teach incorporating the use of technology. However, additional information is provided throughout the case study describing both prior and after experiences for each student teacher. Each of t</w:t>
      </w:r>
      <w:r>
        <w:rPr>
          <w:rFonts w:ascii="Times New Roman" w:eastAsia="Times New Roman" w:hAnsi="Times New Roman" w:cs="Times New Roman"/>
          <w:color w:val="434343"/>
          <w:sz w:val="24"/>
          <w:szCs w:val="24"/>
        </w:rPr>
        <w:t xml:space="preserve">he five student teachers minimally holds a degree in mathematics or in one or more science areas, with one having a masters degree, and several having work experience. In spite of the TPCK approach in the teacher preparation program, only three out of the </w:t>
      </w:r>
      <w:r>
        <w:rPr>
          <w:rFonts w:ascii="Times New Roman" w:eastAsia="Times New Roman" w:hAnsi="Times New Roman" w:cs="Times New Roman"/>
          <w:color w:val="434343"/>
          <w:sz w:val="24"/>
          <w:szCs w:val="24"/>
        </w:rPr>
        <w:t>five student teachers approached their practicum lessons with a positive attitude toward the use of technology. Out of these three positive student teachers, one was distinguishably more enthusiastic and had a very supportive and involved overseeing teache</w:t>
      </w:r>
      <w:r>
        <w:rPr>
          <w:rFonts w:ascii="Times New Roman" w:eastAsia="Times New Roman" w:hAnsi="Times New Roman" w:cs="Times New Roman"/>
          <w:color w:val="434343"/>
          <w:sz w:val="24"/>
          <w:szCs w:val="24"/>
        </w:rPr>
        <w:t>r. When incorporating technology into their required technology integrated lesson plans, it should be noted that the student teachers were limited to using two data collecting tools: calculator-based ranger or calculator/computer-based laboratory probes. D</w:t>
      </w:r>
      <w:r>
        <w:rPr>
          <w:rFonts w:ascii="Times New Roman" w:eastAsia="Times New Roman" w:hAnsi="Times New Roman" w:cs="Times New Roman"/>
          <w:color w:val="434343"/>
          <w:sz w:val="24"/>
          <w:szCs w:val="24"/>
        </w:rPr>
        <w:t>ue to this limitation of technology tools, possibly due to minimizing variables in the case study, considerations are raised as to whether or not the two more reluctant teachers would have had a more successful integration of technology had they been given</w:t>
      </w:r>
      <w:r>
        <w:rPr>
          <w:rFonts w:ascii="Times New Roman" w:eastAsia="Times New Roman" w:hAnsi="Times New Roman" w:cs="Times New Roman"/>
          <w:color w:val="434343"/>
          <w:sz w:val="24"/>
          <w:szCs w:val="24"/>
        </w:rPr>
        <w:t xml:space="preserve"> more choice in the types of technology to use. </w:t>
      </w:r>
    </w:p>
    <w:p w:rsidR="00B66C60" w:rsidRDefault="00B66C60">
      <w:pPr>
        <w:pStyle w:val="normal0"/>
        <w:ind w:left="720"/>
      </w:pPr>
    </w:p>
    <w:p w:rsidR="00B66C60" w:rsidRDefault="00F60B4D">
      <w:pPr>
        <w:pStyle w:val="normal0"/>
        <w:ind w:left="720"/>
      </w:pPr>
      <w:r>
        <w:rPr>
          <w:rFonts w:ascii="Times New Roman" w:eastAsia="Times New Roman" w:hAnsi="Times New Roman" w:cs="Times New Roman"/>
          <w:color w:val="434343"/>
          <w:sz w:val="24"/>
          <w:szCs w:val="24"/>
        </w:rPr>
        <w:t>From this research, valuable insights on the characteristics of successful technology integration in science and math classrooms can be deciphered. Evident in all of the student teachers’ experiences is the</w:t>
      </w:r>
      <w:r>
        <w:rPr>
          <w:rFonts w:ascii="Times New Roman" w:eastAsia="Times New Roman" w:hAnsi="Times New Roman" w:cs="Times New Roman"/>
          <w:color w:val="434343"/>
          <w:sz w:val="24"/>
          <w:szCs w:val="24"/>
        </w:rPr>
        <w:t xml:space="preserve"> critical need for students to be familiar with the technology to be used prior to conducting a lesson focused on math or science content. Content learning is diminished or completely negated when students are interacting with unknown technology. Teaching </w:t>
      </w:r>
      <w:r>
        <w:rPr>
          <w:rFonts w:ascii="Times New Roman" w:eastAsia="Times New Roman" w:hAnsi="Times New Roman" w:cs="Times New Roman"/>
          <w:color w:val="434343"/>
          <w:sz w:val="24"/>
          <w:szCs w:val="24"/>
        </w:rPr>
        <w:t>a lesson on learning the technology first and then implementing it into a content focused lesson is imperative to successful integration of technology in learning. As noted earlier, the most successful integration of technology occurred in the classroom wi</w:t>
      </w:r>
      <w:r>
        <w:rPr>
          <w:rFonts w:ascii="Times New Roman" w:eastAsia="Times New Roman" w:hAnsi="Times New Roman" w:cs="Times New Roman"/>
          <w:color w:val="434343"/>
          <w:sz w:val="24"/>
          <w:szCs w:val="24"/>
        </w:rPr>
        <w:t xml:space="preserve">th the very supportive overseeing teacher. Having a support team in place to help motivate and spur on new ideas is another essential aspect in successfully integrating technology as further indicated in the </w:t>
      </w:r>
      <w:proofErr w:type="spellStart"/>
      <w:r>
        <w:rPr>
          <w:rFonts w:ascii="Times New Roman" w:eastAsia="Times New Roman" w:hAnsi="Times New Roman" w:cs="Times New Roman"/>
          <w:color w:val="434343"/>
          <w:sz w:val="24"/>
          <w:szCs w:val="24"/>
        </w:rPr>
        <w:t>Sharkawy</w:t>
      </w:r>
      <w:proofErr w:type="spellEnd"/>
      <w:r>
        <w:rPr>
          <w:rFonts w:ascii="Times New Roman" w:eastAsia="Times New Roman" w:hAnsi="Times New Roman" w:cs="Times New Roman"/>
          <w:color w:val="434343"/>
          <w:sz w:val="24"/>
          <w:szCs w:val="24"/>
        </w:rPr>
        <w:t xml:space="preserve"> et al. (2009) </w:t>
      </w:r>
      <w:r>
        <w:rPr>
          <w:rFonts w:ascii="Times New Roman" w:eastAsia="Times New Roman" w:hAnsi="Times New Roman" w:cs="Times New Roman"/>
          <w:color w:val="434343"/>
          <w:sz w:val="24"/>
          <w:szCs w:val="24"/>
        </w:rPr>
        <w:lastRenderedPageBreak/>
        <w:t>article. A final characte</w:t>
      </w:r>
      <w:r>
        <w:rPr>
          <w:rFonts w:ascii="Times New Roman" w:eastAsia="Times New Roman" w:hAnsi="Times New Roman" w:cs="Times New Roman"/>
          <w:color w:val="434343"/>
          <w:sz w:val="24"/>
          <w:szCs w:val="24"/>
        </w:rPr>
        <w:t>ristic of successful technology integration involves knowing the students, their strengths and weaknesses and carefully assigning cooperative groups based on this knowledge. Although not evident in each of the teacher’s experience, there was indication tha</w:t>
      </w:r>
      <w:r>
        <w:rPr>
          <w:rFonts w:ascii="Times New Roman" w:eastAsia="Times New Roman" w:hAnsi="Times New Roman" w:cs="Times New Roman"/>
          <w:color w:val="434343"/>
          <w:sz w:val="24"/>
          <w:szCs w:val="24"/>
        </w:rPr>
        <w:t>t careless group formation can lead to classroom management issues and lowering expectations of student learning.</w:t>
      </w:r>
    </w:p>
    <w:p w:rsidR="00B66C60" w:rsidRDefault="00B66C60">
      <w:pPr>
        <w:pStyle w:val="normal0"/>
      </w:pPr>
    </w:p>
    <w:p w:rsidR="00B66C60" w:rsidRDefault="00B66C60">
      <w:pPr>
        <w:pStyle w:val="normal0"/>
      </w:pPr>
    </w:p>
    <w:p w:rsidR="00B66C60" w:rsidRDefault="00F60B4D">
      <w:pPr>
        <w:pStyle w:val="normal0"/>
      </w:pPr>
      <w:proofErr w:type="spellStart"/>
      <w:r>
        <w:rPr>
          <w:rFonts w:ascii="Times New Roman" w:eastAsia="Times New Roman" w:hAnsi="Times New Roman" w:cs="Times New Roman"/>
          <w:color w:val="434343"/>
          <w:sz w:val="24"/>
          <w:szCs w:val="24"/>
        </w:rPr>
        <w:t>Sharkawy</w:t>
      </w:r>
      <w:proofErr w:type="spellEnd"/>
      <w:r>
        <w:rPr>
          <w:rFonts w:ascii="Times New Roman" w:eastAsia="Times New Roman" w:hAnsi="Times New Roman" w:cs="Times New Roman"/>
          <w:color w:val="434343"/>
          <w:sz w:val="24"/>
          <w:szCs w:val="24"/>
        </w:rPr>
        <w:t xml:space="preserve">, A., </w:t>
      </w:r>
      <w:proofErr w:type="spellStart"/>
      <w:r>
        <w:rPr>
          <w:rFonts w:ascii="Times New Roman" w:eastAsia="Times New Roman" w:hAnsi="Times New Roman" w:cs="Times New Roman"/>
          <w:color w:val="434343"/>
          <w:sz w:val="24"/>
          <w:szCs w:val="24"/>
        </w:rPr>
        <w:t>Barlex</w:t>
      </w:r>
      <w:proofErr w:type="spellEnd"/>
      <w:r>
        <w:rPr>
          <w:rFonts w:ascii="Times New Roman" w:eastAsia="Times New Roman" w:hAnsi="Times New Roman" w:cs="Times New Roman"/>
          <w:color w:val="434343"/>
          <w:sz w:val="24"/>
          <w:szCs w:val="24"/>
        </w:rPr>
        <w:t xml:space="preserve">, D., Welch, M., </w:t>
      </w:r>
      <w:proofErr w:type="spellStart"/>
      <w:r>
        <w:rPr>
          <w:rFonts w:ascii="Times New Roman" w:eastAsia="Times New Roman" w:hAnsi="Times New Roman" w:cs="Times New Roman"/>
          <w:color w:val="434343"/>
          <w:sz w:val="24"/>
          <w:szCs w:val="24"/>
        </w:rPr>
        <w:t>McDuff</w:t>
      </w:r>
      <w:proofErr w:type="spellEnd"/>
      <w:r>
        <w:rPr>
          <w:rFonts w:ascii="Times New Roman" w:eastAsia="Times New Roman" w:hAnsi="Times New Roman" w:cs="Times New Roman"/>
          <w:color w:val="434343"/>
          <w:sz w:val="24"/>
          <w:szCs w:val="24"/>
        </w:rPr>
        <w:t xml:space="preserve">, J., and Craig, N. (2009). Adapting a curriculum </w:t>
      </w:r>
    </w:p>
    <w:p w:rsidR="00B66C60" w:rsidRDefault="00F60B4D">
      <w:pPr>
        <w:pStyle w:val="normal0"/>
        <w:ind w:left="720"/>
      </w:pPr>
      <w:proofErr w:type="gramStart"/>
      <w:r>
        <w:rPr>
          <w:rFonts w:ascii="Times New Roman" w:eastAsia="Times New Roman" w:hAnsi="Times New Roman" w:cs="Times New Roman"/>
          <w:color w:val="434343"/>
          <w:sz w:val="24"/>
          <w:szCs w:val="24"/>
        </w:rPr>
        <w:t>unit</w:t>
      </w:r>
      <w:proofErr w:type="gramEnd"/>
      <w:r>
        <w:rPr>
          <w:rFonts w:ascii="Times New Roman" w:eastAsia="Times New Roman" w:hAnsi="Times New Roman" w:cs="Times New Roman"/>
          <w:color w:val="434343"/>
          <w:sz w:val="24"/>
          <w:szCs w:val="24"/>
        </w:rPr>
        <w:t xml:space="preserve"> to facilitate interaction between technol</w:t>
      </w:r>
      <w:r>
        <w:rPr>
          <w:rFonts w:ascii="Times New Roman" w:eastAsia="Times New Roman" w:hAnsi="Times New Roman" w:cs="Times New Roman"/>
          <w:color w:val="434343"/>
          <w:sz w:val="24"/>
          <w:szCs w:val="24"/>
        </w:rPr>
        <w:t>ogy, mathematics and science in the elementary classroom: Identifying relevant criteria. Design and Technology Education, 14(1)</w:t>
      </w:r>
      <w:proofErr w:type="gramStart"/>
      <w:r>
        <w:rPr>
          <w:rFonts w:ascii="Times New Roman" w:eastAsia="Times New Roman" w:hAnsi="Times New Roman" w:cs="Times New Roman"/>
          <w:color w:val="434343"/>
          <w:sz w:val="24"/>
          <w:szCs w:val="24"/>
        </w:rPr>
        <w:t>:7</w:t>
      </w:r>
      <w:proofErr w:type="gramEnd"/>
      <w:r>
        <w:rPr>
          <w:rFonts w:ascii="Times New Roman" w:eastAsia="Times New Roman" w:hAnsi="Times New Roman" w:cs="Times New Roman"/>
          <w:color w:val="434343"/>
          <w:sz w:val="24"/>
          <w:szCs w:val="24"/>
        </w:rPr>
        <w:t xml:space="preserve">–20. </w:t>
      </w:r>
    </w:p>
    <w:p w:rsidR="00B66C60" w:rsidRDefault="00B66C60">
      <w:pPr>
        <w:pStyle w:val="normal0"/>
      </w:pPr>
    </w:p>
    <w:p w:rsidR="00B66C60" w:rsidRDefault="00F60B4D">
      <w:pPr>
        <w:pStyle w:val="normal0"/>
        <w:ind w:left="720"/>
      </w:pPr>
      <w:r>
        <w:rPr>
          <w:rFonts w:ascii="Times New Roman" w:eastAsia="Times New Roman" w:hAnsi="Times New Roman" w:cs="Times New Roman"/>
          <w:color w:val="434343"/>
          <w:sz w:val="24"/>
          <w:szCs w:val="24"/>
        </w:rPr>
        <w:t>The authors of this article are engaging on the daunting task of rewriting a technology curriculum unit for the purposes</w:t>
      </w:r>
      <w:r>
        <w:rPr>
          <w:rFonts w:ascii="Times New Roman" w:eastAsia="Times New Roman" w:hAnsi="Times New Roman" w:cs="Times New Roman"/>
          <w:color w:val="434343"/>
          <w:sz w:val="24"/>
          <w:szCs w:val="24"/>
        </w:rPr>
        <w:t xml:space="preserve"> of research on the integration of mathematics, science and technology. Phase 1 of their research consists of reviewing 77 relevant journal articles ranging from dates of 1975 to 2008. This article is a synthesis of their extensive literature review on the</w:t>
      </w:r>
      <w:r>
        <w:rPr>
          <w:rFonts w:ascii="Times New Roman" w:eastAsia="Times New Roman" w:hAnsi="Times New Roman" w:cs="Times New Roman"/>
          <w:color w:val="434343"/>
          <w:sz w:val="24"/>
          <w:szCs w:val="24"/>
        </w:rPr>
        <w:t xml:space="preserve"> integration of science, mathematics and technology in the classroom. Interestingly, the integration of learning as described in the literature extended to other areas of learning including design, engineering and society influence. This article suggests t</w:t>
      </w:r>
      <w:r>
        <w:rPr>
          <w:rFonts w:ascii="Times New Roman" w:eastAsia="Times New Roman" w:hAnsi="Times New Roman" w:cs="Times New Roman"/>
          <w:color w:val="434343"/>
          <w:sz w:val="24"/>
          <w:szCs w:val="24"/>
        </w:rPr>
        <w:t xml:space="preserve">hat interaction of learning with society provides a strong argument for the support of integration. It is </w:t>
      </w:r>
      <w:proofErr w:type="gramStart"/>
      <w:r>
        <w:rPr>
          <w:rFonts w:ascii="Times New Roman" w:eastAsia="Times New Roman" w:hAnsi="Times New Roman" w:cs="Times New Roman"/>
          <w:color w:val="434343"/>
          <w:sz w:val="24"/>
          <w:szCs w:val="24"/>
        </w:rPr>
        <w:t>stated that</w:t>
      </w:r>
      <w:proofErr w:type="gramEnd"/>
      <w:r>
        <w:rPr>
          <w:rFonts w:ascii="Times New Roman" w:eastAsia="Times New Roman" w:hAnsi="Times New Roman" w:cs="Times New Roman"/>
          <w:color w:val="434343"/>
          <w:sz w:val="24"/>
          <w:szCs w:val="24"/>
        </w:rPr>
        <w:t xml:space="preserve"> “interaction centres on the nature of the disciplines themselves, the emergence of common procedures and concepts, and the way they intera</w:t>
      </w:r>
      <w:r>
        <w:rPr>
          <w:rFonts w:ascii="Times New Roman" w:eastAsia="Times New Roman" w:hAnsi="Times New Roman" w:cs="Times New Roman"/>
          <w:color w:val="434343"/>
          <w:sz w:val="24"/>
          <w:szCs w:val="24"/>
        </w:rPr>
        <w:t xml:space="preserve">ct in the world outside school” (p.13). This describes a seamless, holistic approach to integrated learning. Throughout the article, the authors offer specific findings on the characteristics of integrated learning, necessary supports at the micro, </w:t>
      </w:r>
      <w:proofErr w:type="spellStart"/>
      <w:r>
        <w:rPr>
          <w:rFonts w:ascii="Times New Roman" w:eastAsia="Times New Roman" w:hAnsi="Times New Roman" w:cs="Times New Roman"/>
          <w:color w:val="434343"/>
          <w:sz w:val="24"/>
          <w:szCs w:val="24"/>
        </w:rPr>
        <w:t>meso</w:t>
      </w:r>
      <w:proofErr w:type="spellEnd"/>
      <w:r>
        <w:rPr>
          <w:rFonts w:ascii="Times New Roman" w:eastAsia="Times New Roman" w:hAnsi="Times New Roman" w:cs="Times New Roman"/>
          <w:color w:val="434343"/>
          <w:sz w:val="24"/>
          <w:szCs w:val="24"/>
        </w:rPr>
        <w:t xml:space="preserve"> an</w:t>
      </w:r>
      <w:r>
        <w:rPr>
          <w:rFonts w:ascii="Times New Roman" w:eastAsia="Times New Roman" w:hAnsi="Times New Roman" w:cs="Times New Roman"/>
          <w:color w:val="434343"/>
          <w:sz w:val="24"/>
          <w:szCs w:val="24"/>
        </w:rPr>
        <w:t xml:space="preserve">d macro levels, and considerations for the educator. These findings are evident in their conclusion of the seven criteria necessary to construct a successful integrated unit study: </w:t>
      </w:r>
    </w:p>
    <w:p w:rsidR="00B66C60" w:rsidRDefault="00F60B4D">
      <w:pPr>
        <w:pStyle w:val="normal0"/>
        <w:numPr>
          <w:ilvl w:val="0"/>
          <w:numId w:val="1"/>
        </w:numPr>
        <w:ind w:left="1440" w:hanging="360"/>
        <w:contextualSpacing/>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Respect the integrity of the subjects</w:t>
      </w:r>
    </w:p>
    <w:p w:rsidR="00B66C60" w:rsidRDefault="00F60B4D">
      <w:pPr>
        <w:pStyle w:val="normal0"/>
        <w:numPr>
          <w:ilvl w:val="0"/>
          <w:numId w:val="1"/>
        </w:numPr>
        <w:ind w:left="1440" w:hanging="360"/>
        <w:contextualSpacing/>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Utilize the commonalities of process</w:t>
      </w:r>
      <w:r>
        <w:rPr>
          <w:rFonts w:ascii="Times New Roman" w:eastAsia="Times New Roman" w:hAnsi="Times New Roman" w:cs="Times New Roman"/>
          <w:color w:val="434343"/>
          <w:sz w:val="24"/>
          <w:szCs w:val="24"/>
        </w:rPr>
        <w:t xml:space="preserve"> and content shared by the interacting subjects</w:t>
      </w:r>
    </w:p>
    <w:p w:rsidR="00B66C60" w:rsidRDefault="00F60B4D">
      <w:pPr>
        <w:pStyle w:val="normal0"/>
        <w:numPr>
          <w:ilvl w:val="0"/>
          <w:numId w:val="1"/>
        </w:numPr>
        <w:ind w:left="1440" w:hanging="360"/>
        <w:contextualSpacing/>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 xml:space="preserve">Reflect a constructivist theory of learning </w:t>
      </w:r>
    </w:p>
    <w:p w:rsidR="00B66C60" w:rsidRDefault="00F60B4D">
      <w:pPr>
        <w:pStyle w:val="normal0"/>
        <w:numPr>
          <w:ilvl w:val="0"/>
          <w:numId w:val="1"/>
        </w:numPr>
        <w:ind w:left="1440" w:hanging="360"/>
        <w:contextualSpacing/>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The task set for pupils must be purposeful if it is to engage and motivate</w:t>
      </w:r>
    </w:p>
    <w:p w:rsidR="00B66C60" w:rsidRDefault="00F60B4D">
      <w:pPr>
        <w:pStyle w:val="normal0"/>
        <w:numPr>
          <w:ilvl w:val="0"/>
          <w:numId w:val="1"/>
        </w:numPr>
        <w:ind w:left="1440" w:hanging="360"/>
        <w:contextualSpacing/>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The task must provide opportunities for pupils to use learning from mathematics and scie</w:t>
      </w:r>
      <w:r>
        <w:rPr>
          <w:rFonts w:ascii="Times New Roman" w:eastAsia="Times New Roman" w:hAnsi="Times New Roman" w:cs="Times New Roman"/>
          <w:color w:val="434343"/>
          <w:sz w:val="24"/>
          <w:szCs w:val="24"/>
        </w:rPr>
        <w:t>nce to support learning in technology in such a way that learning in all three subjects is enhanced</w:t>
      </w:r>
    </w:p>
    <w:p w:rsidR="00B66C60" w:rsidRDefault="00F60B4D">
      <w:pPr>
        <w:pStyle w:val="normal0"/>
        <w:numPr>
          <w:ilvl w:val="0"/>
          <w:numId w:val="1"/>
        </w:numPr>
        <w:ind w:left="1440" w:hanging="360"/>
        <w:contextualSpacing/>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Must enable students to recognize and use learning from mathematics and science to enhance their learning in technology</w:t>
      </w:r>
    </w:p>
    <w:p w:rsidR="00B66C60" w:rsidRDefault="00F60B4D">
      <w:pPr>
        <w:pStyle w:val="normal0"/>
        <w:numPr>
          <w:ilvl w:val="0"/>
          <w:numId w:val="1"/>
        </w:numPr>
        <w:ind w:left="1440" w:hanging="360"/>
        <w:contextualSpacing/>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Must meet statutory requirements  (p</w:t>
      </w:r>
      <w:r>
        <w:rPr>
          <w:rFonts w:ascii="Times New Roman" w:eastAsia="Times New Roman" w:hAnsi="Times New Roman" w:cs="Times New Roman"/>
          <w:color w:val="434343"/>
          <w:sz w:val="24"/>
          <w:szCs w:val="24"/>
        </w:rPr>
        <w:t>p.16-17)</w:t>
      </w:r>
    </w:p>
    <w:p w:rsidR="00B66C60" w:rsidRDefault="00B66C60">
      <w:pPr>
        <w:pStyle w:val="normal0"/>
        <w:ind w:left="720"/>
      </w:pPr>
    </w:p>
    <w:p w:rsidR="00B66C60" w:rsidRDefault="00F60B4D">
      <w:pPr>
        <w:pStyle w:val="normal0"/>
        <w:ind w:left="720"/>
      </w:pPr>
      <w:r>
        <w:rPr>
          <w:rFonts w:ascii="Times New Roman" w:eastAsia="Times New Roman" w:hAnsi="Times New Roman" w:cs="Times New Roman"/>
          <w:color w:val="434343"/>
          <w:sz w:val="24"/>
          <w:szCs w:val="24"/>
        </w:rPr>
        <w:t xml:space="preserve">Although the authors have derived comprehensive guidelines in developing an integrated technology curriculum unit, they do admit that “the evidence to support the view that </w:t>
      </w:r>
      <w:r>
        <w:rPr>
          <w:rFonts w:ascii="Times New Roman" w:eastAsia="Times New Roman" w:hAnsi="Times New Roman" w:cs="Times New Roman"/>
          <w:color w:val="434343"/>
          <w:sz w:val="24"/>
          <w:szCs w:val="24"/>
        </w:rPr>
        <w:lastRenderedPageBreak/>
        <w:t>interaction [integration] promotes enhanced motivation and engagement is sparse” (p</w:t>
      </w:r>
      <w:r>
        <w:rPr>
          <w:rFonts w:ascii="Times New Roman" w:eastAsia="Times New Roman" w:hAnsi="Times New Roman" w:cs="Times New Roman"/>
          <w:color w:val="434343"/>
          <w:sz w:val="24"/>
          <w:szCs w:val="24"/>
        </w:rPr>
        <w:t>.16). This is one area that will need to be further explored and documented as the authors’ research continues.</w:t>
      </w:r>
    </w:p>
    <w:p w:rsidR="00B66C60" w:rsidRDefault="00B66C60">
      <w:pPr>
        <w:pStyle w:val="normal0"/>
        <w:ind w:left="720"/>
      </w:pPr>
    </w:p>
    <w:p w:rsidR="00B66C60" w:rsidRDefault="00F60B4D">
      <w:pPr>
        <w:pStyle w:val="normal0"/>
        <w:ind w:left="720"/>
      </w:pPr>
      <w:r>
        <w:rPr>
          <w:rFonts w:ascii="Times New Roman" w:eastAsia="Times New Roman" w:hAnsi="Times New Roman" w:cs="Times New Roman"/>
          <w:color w:val="434343"/>
          <w:sz w:val="24"/>
          <w:szCs w:val="24"/>
        </w:rPr>
        <w:t>In pursuing the integration of technology in a learning space and considering the blurring of traditional subject boundaries, the literature re</w:t>
      </w:r>
      <w:r>
        <w:rPr>
          <w:rFonts w:ascii="Times New Roman" w:eastAsia="Times New Roman" w:hAnsi="Times New Roman" w:cs="Times New Roman"/>
          <w:color w:val="434343"/>
          <w:sz w:val="24"/>
          <w:szCs w:val="24"/>
        </w:rPr>
        <w:t>view offers helpful insights into the starting points for planning and designing integrated learning. More helpful still are some of the cautions iterated, specifically that “success requires support at the national, state and local levels” (p.12) includin</w:t>
      </w:r>
      <w:r>
        <w:rPr>
          <w:rFonts w:ascii="Times New Roman" w:eastAsia="Times New Roman" w:hAnsi="Times New Roman" w:cs="Times New Roman"/>
          <w:color w:val="434343"/>
          <w:sz w:val="24"/>
          <w:szCs w:val="24"/>
        </w:rPr>
        <w:t xml:space="preserve">g coherence among educational policy makers, curriculum developers, school boards, administration and the classroom! This implies that with little support isolated or short-term success with integrated technology learning may occur in a classroom, but the </w:t>
      </w:r>
      <w:r>
        <w:rPr>
          <w:rFonts w:ascii="Times New Roman" w:eastAsia="Times New Roman" w:hAnsi="Times New Roman" w:cs="Times New Roman"/>
          <w:color w:val="434343"/>
          <w:sz w:val="24"/>
          <w:szCs w:val="24"/>
        </w:rPr>
        <w:t xml:space="preserve">long-term existence of a successful technology integrated learning space will remain undeveloped until support is established. </w:t>
      </w:r>
    </w:p>
    <w:p w:rsidR="00B66C60" w:rsidRDefault="00F60B4D">
      <w:pPr>
        <w:pStyle w:val="normal0"/>
      </w:pP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p>
    <w:p w:rsidR="00B66C60" w:rsidRDefault="00B66C60">
      <w:pPr>
        <w:pStyle w:val="normal0"/>
      </w:pPr>
    </w:p>
    <w:p w:rsidR="00B66C60" w:rsidRDefault="00F60B4D">
      <w:pPr>
        <w:pStyle w:val="normal0"/>
      </w:pPr>
      <w:r>
        <w:rPr>
          <w:rFonts w:ascii="Times New Roman" w:eastAsia="Times New Roman" w:hAnsi="Times New Roman" w:cs="Times New Roman"/>
          <w:b/>
          <w:color w:val="434343"/>
          <w:sz w:val="24"/>
          <w:szCs w:val="24"/>
        </w:rPr>
        <w:t>Conclusion</w:t>
      </w:r>
    </w:p>
    <w:p w:rsidR="00B66C60" w:rsidRDefault="00B66C60">
      <w:pPr>
        <w:pStyle w:val="normal0"/>
      </w:pPr>
    </w:p>
    <w:p w:rsidR="00B66C60" w:rsidRDefault="00F60B4D">
      <w:pPr>
        <w:pStyle w:val="normal0"/>
      </w:pPr>
      <w:r>
        <w:rPr>
          <w:rFonts w:ascii="Times New Roman" w:eastAsia="Times New Roman" w:hAnsi="Times New Roman" w:cs="Times New Roman"/>
          <w:color w:val="434343"/>
          <w:sz w:val="24"/>
          <w:szCs w:val="24"/>
          <w:highlight w:val="white"/>
        </w:rPr>
        <w:t>Recently, I read a quotation that describes teaching as an “outrageously complex activity” (Schulman, 1989, p.1</w:t>
      </w:r>
      <w:r>
        <w:rPr>
          <w:rFonts w:ascii="Times New Roman" w:eastAsia="Times New Roman" w:hAnsi="Times New Roman" w:cs="Times New Roman"/>
          <w:color w:val="434343"/>
          <w:sz w:val="24"/>
          <w:szCs w:val="24"/>
          <w:highlight w:val="white"/>
        </w:rPr>
        <w:t xml:space="preserve">1). This statement could not be </w:t>
      </w:r>
      <w:proofErr w:type="gramStart"/>
      <w:r>
        <w:rPr>
          <w:rFonts w:ascii="Times New Roman" w:eastAsia="Times New Roman" w:hAnsi="Times New Roman" w:cs="Times New Roman"/>
          <w:color w:val="434343"/>
          <w:sz w:val="24"/>
          <w:szCs w:val="24"/>
          <w:highlight w:val="white"/>
        </w:rPr>
        <w:t>more true</w:t>
      </w:r>
      <w:proofErr w:type="gramEnd"/>
      <w:r>
        <w:rPr>
          <w:rFonts w:ascii="Times New Roman" w:eastAsia="Times New Roman" w:hAnsi="Times New Roman" w:cs="Times New Roman"/>
          <w:color w:val="434343"/>
          <w:sz w:val="24"/>
          <w:szCs w:val="24"/>
          <w:highlight w:val="white"/>
        </w:rPr>
        <w:t xml:space="preserve"> than when incorporating the integration of subject areas into a learning space. </w:t>
      </w:r>
      <w:proofErr w:type="gramStart"/>
      <w:r>
        <w:rPr>
          <w:rFonts w:ascii="Times New Roman" w:eastAsia="Times New Roman" w:hAnsi="Times New Roman" w:cs="Times New Roman"/>
          <w:color w:val="434343"/>
          <w:sz w:val="24"/>
          <w:szCs w:val="24"/>
          <w:highlight w:val="white"/>
        </w:rPr>
        <w:t>When “blurring the boundaries between subjects … it is essential to sharpen the focus” (</w:t>
      </w:r>
      <w:proofErr w:type="spellStart"/>
      <w:r>
        <w:rPr>
          <w:rFonts w:ascii="Times New Roman" w:eastAsia="Times New Roman" w:hAnsi="Times New Roman" w:cs="Times New Roman"/>
          <w:color w:val="434343"/>
          <w:sz w:val="24"/>
          <w:szCs w:val="24"/>
        </w:rPr>
        <w:t>Sharkawy</w:t>
      </w:r>
      <w:proofErr w:type="spellEnd"/>
      <w:r>
        <w:rPr>
          <w:rFonts w:ascii="Times New Roman" w:eastAsia="Times New Roman" w:hAnsi="Times New Roman" w:cs="Times New Roman"/>
          <w:color w:val="434343"/>
          <w:sz w:val="24"/>
          <w:szCs w:val="24"/>
        </w:rPr>
        <w:t xml:space="preserve"> et al., 2009).</w:t>
      </w:r>
      <w:proofErr w:type="gramEnd"/>
      <w:r>
        <w:rPr>
          <w:rFonts w:ascii="Times New Roman" w:eastAsia="Times New Roman" w:hAnsi="Times New Roman" w:cs="Times New Roman"/>
          <w:color w:val="434343"/>
          <w:sz w:val="24"/>
          <w:szCs w:val="24"/>
        </w:rPr>
        <w:t xml:space="preserve"> </w:t>
      </w:r>
      <w:proofErr w:type="spellStart"/>
      <w:r>
        <w:rPr>
          <w:rFonts w:ascii="Times New Roman" w:eastAsia="Times New Roman" w:hAnsi="Times New Roman" w:cs="Times New Roman"/>
          <w:color w:val="434343"/>
          <w:sz w:val="24"/>
          <w:szCs w:val="24"/>
        </w:rPr>
        <w:t>Sharkawy</w:t>
      </w:r>
      <w:proofErr w:type="spellEnd"/>
      <w:r>
        <w:rPr>
          <w:rFonts w:ascii="Times New Roman" w:eastAsia="Times New Roman" w:hAnsi="Times New Roman" w:cs="Times New Roman"/>
          <w:color w:val="434343"/>
          <w:sz w:val="24"/>
          <w:szCs w:val="24"/>
        </w:rPr>
        <w:t xml:space="preserve"> et al. (2009)</w:t>
      </w:r>
      <w:r>
        <w:rPr>
          <w:rFonts w:ascii="Times New Roman" w:eastAsia="Times New Roman" w:hAnsi="Times New Roman" w:cs="Times New Roman"/>
          <w:color w:val="434343"/>
          <w:sz w:val="24"/>
          <w:szCs w:val="24"/>
        </w:rPr>
        <w:t xml:space="preserve"> describe this focus as clarity of subject content and an understanding of how this content can be applied in meaningful tasks to promote a holistic and rich learning space. This need of focus is also evident in Clement &amp; </w:t>
      </w:r>
      <w:proofErr w:type="spellStart"/>
      <w:r>
        <w:rPr>
          <w:rFonts w:ascii="Times New Roman" w:eastAsia="Times New Roman" w:hAnsi="Times New Roman" w:cs="Times New Roman"/>
          <w:color w:val="434343"/>
          <w:sz w:val="24"/>
          <w:szCs w:val="24"/>
        </w:rPr>
        <w:t>Sarama’s</w:t>
      </w:r>
      <w:proofErr w:type="spellEnd"/>
      <w:r>
        <w:rPr>
          <w:rFonts w:ascii="Times New Roman" w:eastAsia="Times New Roman" w:hAnsi="Times New Roman" w:cs="Times New Roman"/>
          <w:color w:val="434343"/>
          <w:sz w:val="24"/>
          <w:szCs w:val="24"/>
        </w:rPr>
        <w:t xml:space="preserve"> (2016) promotion of a str</w:t>
      </w:r>
      <w:r>
        <w:rPr>
          <w:rFonts w:ascii="Times New Roman" w:eastAsia="Times New Roman" w:hAnsi="Times New Roman" w:cs="Times New Roman"/>
          <w:color w:val="434343"/>
          <w:sz w:val="24"/>
          <w:szCs w:val="24"/>
        </w:rPr>
        <w:t xml:space="preserve">uctured learning approach and the use of researched learning trajectories. The challenge for the educator is in keeping the authenticity of each content area in the midst of the merging of ideas and </w:t>
      </w:r>
      <w:proofErr w:type="spellStart"/>
      <w:proofErr w:type="gramStart"/>
      <w:r>
        <w:rPr>
          <w:rFonts w:ascii="Times New Roman" w:eastAsia="Times New Roman" w:hAnsi="Times New Roman" w:cs="Times New Roman"/>
          <w:color w:val="434343"/>
          <w:sz w:val="24"/>
          <w:szCs w:val="24"/>
        </w:rPr>
        <w:t>learning.Within</w:t>
      </w:r>
      <w:proofErr w:type="spellEnd"/>
      <w:proofErr w:type="gramEnd"/>
      <w:r>
        <w:rPr>
          <w:rFonts w:ascii="Times New Roman" w:eastAsia="Times New Roman" w:hAnsi="Times New Roman" w:cs="Times New Roman"/>
          <w:color w:val="434343"/>
          <w:sz w:val="24"/>
          <w:szCs w:val="24"/>
        </w:rPr>
        <w:t xml:space="preserve"> each of the articles there is indication </w:t>
      </w:r>
      <w:r>
        <w:rPr>
          <w:rFonts w:ascii="Times New Roman" w:eastAsia="Times New Roman" w:hAnsi="Times New Roman" w:cs="Times New Roman"/>
          <w:color w:val="434343"/>
          <w:sz w:val="24"/>
          <w:szCs w:val="24"/>
        </w:rPr>
        <w:t xml:space="preserve">that professional development for all grade level teachers, including </w:t>
      </w:r>
      <w:proofErr w:type="spellStart"/>
      <w:r>
        <w:rPr>
          <w:rFonts w:ascii="Times New Roman" w:eastAsia="Times New Roman" w:hAnsi="Times New Roman" w:cs="Times New Roman"/>
          <w:color w:val="434343"/>
          <w:sz w:val="24"/>
          <w:szCs w:val="24"/>
        </w:rPr>
        <w:t>preservice</w:t>
      </w:r>
      <w:proofErr w:type="spellEnd"/>
      <w:r>
        <w:rPr>
          <w:rFonts w:ascii="Times New Roman" w:eastAsia="Times New Roman" w:hAnsi="Times New Roman" w:cs="Times New Roman"/>
          <w:color w:val="434343"/>
          <w:sz w:val="24"/>
          <w:szCs w:val="24"/>
        </w:rPr>
        <w:t xml:space="preserve"> teachers, is an ongoing challenge both to equip teachers with content knowledge and to diminish aversive attitudes towards the use of technology (</w:t>
      </w:r>
      <w:proofErr w:type="spellStart"/>
      <w:r>
        <w:rPr>
          <w:rFonts w:ascii="Times New Roman" w:eastAsia="Times New Roman" w:hAnsi="Times New Roman" w:cs="Times New Roman"/>
          <w:color w:val="434343"/>
          <w:sz w:val="24"/>
          <w:szCs w:val="24"/>
        </w:rPr>
        <w:t>Niess</w:t>
      </w:r>
      <w:proofErr w:type="spellEnd"/>
      <w:r>
        <w:rPr>
          <w:rFonts w:ascii="Times New Roman" w:eastAsia="Times New Roman" w:hAnsi="Times New Roman" w:cs="Times New Roman"/>
          <w:color w:val="434343"/>
          <w:sz w:val="24"/>
          <w:szCs w:val="24"/>
        </w:rPr>
        <w:t xml:space="preserve">, 2005; Clement &amp; </w:t>
      </w:r>
      <w:proofErr w:type="spellStart"/>
      <w:r>
        <w:rPr>
          <w:rFonts w:ascii="Times New Roman" w:eastAsia="Times New Roman" w:hAnsi="Times New Roman" w:cs="Times New Roman"/>
          <w:color w:val="434343"/>
          <w:sz w:val="24"/>
          <w:szCs w:val="24"/>
        </w:rPr>
        <w:t>Sarama</w:t>
      </w:r>
      <w:proofErr w:type="spellEnd"/>
      <w:r>
        <w:rPr>
          <w:rFonts w:ascii="Times New Roman" w:eastAsia="Times New Roman" w:hAnsi="Times New Roman" w:cs="Times New Roman"/>
          <w:color w:val="434343"/>
          <w:sz w:val="24"/>
          <w:szCs w:val="24"/>
        </w:rPr>
        <w:t xml:space="preserve">, 2016; </w:t>
      </w:r>
      <w:proofErr w:type="spellStart"/>
      <w:r>
        <w:rPr>
          <w:rFonts w:ascii="Times New Roman" w:eastAsia="Times New Roman" w:hAnsi="Times New Roman" w:cs="Times New Roman"/>
          <w:color w:val="434343"/>
          <w:sz w:val="24"/>
          <w:szCs w:val="24"/>
        </w:rPr>
        <w:t>Sharkawy</w:t>
      </w:r>
      <w:proofErr w:type="spellEnd"/>
      <w:r>
        <w:rPr>
          <w:rFonts w:ascii="Times New Roman" w:eastAsia="Times New Roman" w:hAnsi="Times New Roman" w:cs="Times New Roman"/>
          <w:color w:val="434343"/>
          <w:sz w:val="24"/>
          <w:szCs w:val="24"/>
        </w:rPr>
        <w:t xml:space="preserve"> et al., 2009). </w:t>
      </w:r>
    </w:p>
    <w:p w:rsidR="00B66C60" w:rsidRDefault="00B66C60">
      <w:pPr>
        <w:pStyle w:val="normal0"/>
      </w:pPr>
    </w:p>
    <w:p w:rsidR="00B66C60" w:rsidRDefault="00F60B4D">
      <w:pPr>
        <w:pStyle w:val="normal0"/>
      </w:pPr>
      <w:r>
        <w:rPr>
          <w:rFonts w:ascii="Times New Roman" w:eastAsia="Times New Roman" w:hAnsi="Times New Roman" w:cs="Times New Roman"/>
          <w:color w:val="434343"/>
          <w:sz w:val="24"/>
          <w:szCs w:val="24"/>
        </w:rPr>
        <w:t xml:space="preserve">To further inquire about technology integration in mathematics and sciences, it would be interesting to follow the work of Dr. </w:t>
      </w:r>
      <w:proofErr w:type="spellStart"/>
      <w:r>
        <w:rPr>
          <w:rFonts w:ascii="Times New Roman" w:eastAsia="Times New Roman" w:hAnsi="Times New Roman" w:cs="Times New Roman"/>
          <w:color w:val="434343"/>
          <w:sz w:val="24"/>
          <w:szCs w:val="24"/>
        </w:rPr>
        <w:t>Azza</w:t>
      </w:r>
      <w:proofErr w:type="spellEnd"/>
      <w:r>
        <w:rPr>
          <w:rFonts w:ascii="Times New Roman" w:eastAsia="Times New Roman" w:hAnsi="Times New Roman" w:cs="Times New Roman"/>
          <w:color w:val="434343"/>
          <w:sz w:val="24"/>
          <w:szCs w:val="24"/>
        </w:rPr>
        <w:t xml:space="preserve"> </w:t>
      </w:r>
      <w:proofErr w:type="spellStart"/>
      <w:r>
        <w:rPr>
          <w:rFonts w:ascii="Times New Roman" w:eastAsia="Times New Roman" w:hAnsi="Times New Roman" w:cs="Times New Roman"/>
          <w:color w:val="434343"/>
          <w:sz w:val="24"/>
          <w:szCs w:val="24"/>
        </w:rPr>
        <w:t>Sharkawy</w:t>
      </w:r>
      <w:proofErr w:type="spellEnd"/>
      <w:r>
        <w:rPr>
          <w:rFonts w:ascii="Times New Roman" w:eastAsia="Times New Roman" w:hAnsi="Times New Roman" w:cs="Times New Roman"/>
          <w:color w:val="434343"/>
          <w:sz w:val="24"/>
          <w:szCs w:val="24"/>
        </w:rPr>
        <w:t xml:space="preserve"> as integrated technologies for mathematics and science classrooms are being desig</w:t>
      </w:r>
      <w:r>
        <w:rPr>
          <w:rFonts w:ascii="Times New Roman" w:eastAsia="Times New Roman" w:hAnsi="Times New Roman" w:cs="Times New Roman"/>
          <w:color w:val="434343"/>
          <w:sz w:val="24"/>
          <w:szCs w:val="24"/>
        </w:rPr>
        <w:t>ned. One example of such a design is The Knowledge Building International Project on Climate Change (http://educ.queensu.ca/research/spotlights/kbip).</w:t>
      </w:r>
    </w:p>
    <w:p w:rsidR="00B66C60" w:rsidRDefault="00B66C60">
      <w:pPr>
        <w:pStyle w:val="normal0"/>
      </w:pPr>
    </w:p>
    <w:p w:rsidR="00B66C60" w:rsidRDefault="00B66C60">
      <w:pPr>
        <w:pStyle w:val="normal0"/>
      </w:pPr>
    </w:p>
    <w:p w:rsidR="00B66C60" w:rsidRDefault="00B66C60">
      <w:pPr>
        <w:pStyle w:val="normal0"/>
      </w:pPr>
    </w:p>
    <w:p w:rsidR="00B66C60" w:rsidRDefault="00B66C60">
      <w:pPr>
        <w:pStyle w:val="normal0"/>
      </w:pPr>
    </w:p>
    <w:p w:rsidR="00B66C60" w:rsidRDefault="00B66C60">
      <w:pPr>
        <w:pStyle w:val="normal0"/>
      </w:pPr>
    </w:p>
    <w:p w:rsidR="00B66C60" w:rsidRDefault="00B66C60">
      <w:pPr>
        <w:pStyle w:val="normal0"/>
      </w:pPr>
    </w:p>
    <w:p w:rsidR="00B66C60" w:rsidRDefault="00B66C60">
      <w:pPr>
        <w:pStyle w:val="normal0"/>
      </w:pPr>
    </w:p>
    <w:p w:rsidR="00B66C60" w:rsidRDefault="00B66C60">
      <w:pPr>
        <w:pStyle w:val="normal0"/>
      </w:pPr>
    </w:p>
    <w:p w:rsidR="00B66C60" w:rsidRDefault="00B66C60">
      <w:pPr>
        <w:pStyle w:val="normal0"/>
      </w:pPr>
    </w:p>
    <w:p w:rsidR="00B66C60" w:rsidRDefault="00B66C60">
      <w:pPr>
        <w:pStyle w:val="normal0"/>
      </w:pPr>
    </w:p>
    <w:p w:rsidR="00B66C60" w:rsidRDefault="00B66C60">
      <w:pPr>
        <w:pStyle w:val="normal0"/>
      </w:pPr>
    </w:p>
    <w:p w:rsidR="00B66C60" w:rsidRDefault="00B66C60">
      <w:pPr>
        <w:pStyle w:val="normal0"/>
        <w:jc w:val="center"/>
      </w:pPr>
    </w:p>
    <w:p w:rsidR="00B66C60" w:rsidRDefault="00B66C60">
      <w:pPr>
        <w:pStyle w:val="normal0"/>
        <w:jc w:val="center"/>
      </w:pPr>
    </w:p>
    <w:p w:rsidR="00B66C60" w:rsidRDefault="00B66C60">
      <w:pPr>
        <w:pStyle w:val="normal0"/>
        <w:jc w:val="center"/>
      </w:pPr>
    </w:p>
    <w:p w:rsidR="00B66C60" w:rsidRDefault="00B66C60">
      <w:pPr>
        <w:pStyle w:val="normal0"/>
        <w:jc w:val="center"/>
      </w:pPr>
    </w:p>
    <w:p w:rsidR="00B66C60" w:rsidRDefault="00B66C60">
      <w:pPr>
        <w:pStyle w:val="normal0"/>
        <w:jc w:val="center"/>
      </w:pPr>
    </w:p>
    <w:p w:rsidR="00B66C60" w:rsidRDefault="00B66C60">
      <w:pPr>
        <w:pStyle w:val="normal0"/>
        <w:jc w:val="center"/>
      </w:pPr>
    </w:p>
    <w:p w:rsidR="00B66C60" w:rsidRDefault="00B66C60">
      <w:pPr>
        <w:pStyle w:val="normal0"/>
        <w:jc w:val="center"/>
      </w:pPr>
    </w:p>
    <w:p w:rsidR="00B66C60" w:rsidRDefault="00B66C60">
      <w:pPr>
        <w:pStyle w:val="normal0"/>
        <w:jc w:val="center"/>
      </w:pPr>
    </w:p>
    <w:p w:rsidR="00B66C60" w:rsidRDefault="00B66C60">
      <w:pPr>
        <w:pStyle w:val="normal0"/>
        <w:jc w:val="center"/>
      </w:pPr>
    </w:p>
    <w:p w:rsidR="00B66C60" w:rsidRDefault="00B66C60">
      <w:pPr>
        <w:pStyle w:val="normal0"/>
        <w:jc w:val="center"/>
      </w:pPr>
    </w:p>
    <w:p w:rsidR="00B66C60" w:rsidRDefault="00B66C60">
      <w:pPr>
        <w:pStyle w:val="normal0"/>
        <w:jc w:val="center"/>
      </w:pPr>
    </w:p>
    <w:p w:rsidR="00B66C60" w:rsidRDefault="00B66C60">
      <w:pPr>
        <w:pStyle w:val="normal0"/>
        <w:jc w:val="center"/>
      </w:pPr>
    </w:p>
    <w:p w:rsidR="00B66C60" w:rsidRDefault="00B66C60">
      <w:pPr>
        <w:pStyle w:val="normal0"/>
        <w:jc w:val="center"/>
      </w:pPr>
    </w:p>
    <w:p w:rsidR="00B66C60" w:rsidRDefault="00B66C60">
      <w:pPr>
        <w:pStyle w:val="normal0"/>
        <w:jc w:val="center"/>
      </w:pPr>
    </w:p>
    <w:p w:rsidR="00B66C60" w:rsidRDefault="00B66C60">
      <w:pPr>
        <w:pStyle w:val="normal0"/>
        <w:jc w:val="center"/>
      </w:pPr>
    </w:p>
    <w:p w:rsidR="00B66C60" w:rsidRDefault="00B66C60">
      <w:pPr>
        <w:pStyle w:val="normal0"/>
        <w:jc w:val="center"/>
      </w:pPr>
    </w:p>
    <w:p w:rsidR="00B66C60" w:rsidRDefault="00B66C60">
      <w:pPr>
        <w:pStyle w:val="normal0"/>
        <w:jc w:val="center"/>
      </w:pPr>
    </w:p>
    <w:p w:rsidR="00B66C60" w:rsidRDefault="00B66C60">
      <w:pPr>
        <w:pStyle w:val="normal0"/>
        <w:jc w:val="center"/>
      </w:pPr>
    </w:p>
    <w:p w:rsidR="00B66C60" w:rsidRDefault="00B66C60">
      <w:pPr>
        <w:pStyle w:val="normal0"/>
      </w:pPr>
    </w:p>
    <w:p w:rsidR="00B66C60" w:rsidRDefault="00F60B4D">
      <w:pPr>
        <w:pStyle w:val="normal0"/>
        <w:jc w:val="center"/>
      </w:pPr>
      <w:r>
        <w:rPr>
          <w:rFonts w:ascii="Times New Roman" w:eastAsia="Times New Roman" w:hAnsi="Times New Roman" w:cs="Times New Roman"/>
          <w:color w:val="434343"/>
          <w:sz w:val="24"/>
          <w:szCs w:val="24"/>
        </w:rPr>
        <w:t>References</w:t>
      </w:r>
    </w:p>
    <w:p w:rsidR="00B66C60" w:rsidRDefault="00B66C60">
      <w:pPr>
        <w:pStyle w:val="normal0"/>
        <w:jc w:val="center"/>
      </w:pPr>
    </w:p>
    <w:p w:rsidR="00B66C60" w:rsidRDefault="00F60B4D">
      <w:pPr>
        <w:pStyle w:val="normal0"/>
      </w:pPr>
      <w:proofErr w:type="spellStart"/>
      <w:r>
        <w:rPr>
          <w:rFonts w:ascii="Times New Roman" w:eastAsia="Times New Roman" w:hAnsi="Times New Roman" w:cs="Times New Roman"/>
          <w:color w:val="434343"/>
          <w:sz w:val="24"/>
          <w:szCs w:val="24"/>
        </w:rPr>
        <w:t>Bosse</w:t>
      </w:r>
      <w:proofErr w:type="spellEnd"/>
      <w:r>
        <w:rPr>
          <w:rFonts w:ascii="Times New Roman" w:eastAsia="Times New Roman" w:hAnsi="Times New Roman" w:cs="Times New Roman"/>
          <w:color w:val="434343"/>
          <w:sz w:val="24"/>
          <w:szCs w:val="24"/>
        </w:rPr>
        <w:t>, D. (2017, January 19). Informal learning, teacher training, deliberate use of technology</w:t>
      </w:r>
    </w:p>
    <w:p w:rsidR="00B66C60" w:rsidRDefault="00F60B4D">
      <w:pPr>
        <w:pStyle w:val="normal0"/>
        <w:ind w:left="720"/>
      </w:pPr>
      <w:proofErr w:type="gramStart"/>
      <w:r>
        <w:rPr>
          <w:rFonts w:ascii="Times New Roman" w:eastAsia="Times New Roman" w:hAnsi="Times New Roman" w:cs="Times New Roman"/>
          <w:color w:val="434343"/>
          <w:sz w:val="24"/>
          <w:szCs w:val="24"/>
        </w:rPr>
        <w:t>[Web log message].</w:t>
      </w:r>
      <w:proofErr w:type="gramEnd"/>
      <w:r>
        <w:rPr>
          <w:rFonts w:ascii="Times New Roman" w:eastAsia="Times New Roman" w:hAnsi="Times New Roman" w:cs="Times New Roman"/>
          <w:color w:val="434343"/>
          <w:sz w:val="24"/>
          <w:szCs w:val="24"/>
        </w:rPr>
        <w:t xml:space="preserve"> Retrieved from </w:t>
      </w:r>
      <w:hyperlink r:id="rId9">
        <w:r>
          <w:rPr>
            <w:rFonts w:ascii="Times New Roman" w:eastAsia="Times New Roman" w:hAnsi="Times New Roman" w:cs="Times New Roman"/>
            <w:color w:val="434343"/>
            <w:sz w:val="24"/>
            <w:szCs w:val="24"/>
          </w:rPr>
          <w:t>h</w:t>
        </w:r>
        <w:r>
          <w:rPr>
            <w:rFonts w:ascii="Times New Roman" w:eastAsia="Times New Roman" w:hAnsi="Times New Roman" w:cs="Times New Roman"/>
            <w:color w:val="434343"/>
            <w:sz w:val="24"/>
            <w:szCs w:val="24"/>
          </w:rPr>
          <w:t>ttps://blogs.ubc.ca/stem2017/2017/01/19/informal-learning-teacher-training-deliberate-use-of-technology/</w:t>
        </w:r>
      </w:hyperlink>
    </w:p>
    <w:p w:rsidR="00B66C60" w:rsidRDefault="00B66C60">
      <w:pPr>
        <w:pStyle w:val="normal0"/>
        <w:ind w:left="720"/>
      </w:pPr>
    </w:p>
    <w:p w:rsidR="00B66C60" w:rsidRDefault="00F60B4D">
      <w:pPr>
        <w:pStyle w:val="normal0"/>
        <w:ind w:firstLine="720"/>
      </w:pPr>
      <w:r>
        <w:rPr>
          <w:rFonts w:ascii="Times New Roman" w:eastAsia="Times New Roman" w:hAnsi="Times New Roman" w:cs="Times New Roman"/>
          <w:color w:val="333333"/>
          <w:sz w:val="24"/>
          <w:szCs w:val="24"/>
        </w:rPr>
        <w:t>Citation in text: (</w:t>
      </w:r>
      <w:proofErr w:type="spellStart"/>
      <w:r>
        <w:rPr>
          <w:rFonts w:ascii="Times New Roman" w:eastAsia="Times New Roman" w:hAnsi="Times New Roman" w:cs="Times New Roman"/>
          <w:color w:val="333333"/>
          <w:sz w:val="24"/>
          <w:szCs w:val="24"/>
        </w:rPr>
        <w:t>Bosse</w:t>
      </w:r>
      <w:proofErr w:type="spellEnd"/>
      <w:r>
        <w:rPr>
          <w:rFonts w:ascii="Times New Roman" w:eastAsia="Times New Roman" w:hAnsi="Times New Roman" w:cs="Times New Roman"/>
          <w:color w:val="333333"/>
          <w:sz w:val="24"/>
          <w:szCs w:val="24"/>
        </w:rPr>
        <w:t>, 2017)</w:t>
      </w:r>
    </w:p>
    <w:p w:rsidR="00B66C60" w:rsidRDefault="00F60B4D">
      <w:pPr>
        <w:pStyle w:val="normal0"/>
        <w:ind w:firstLine="720"/>
      </w:pPr>
      <w:r>
        <w:rPr>
          <w:rFonts w:ascii="Times New Roman" w:eastAsia="Times New Roman" w:hAnsi="Times New Roman" w:cs="Times New Roman"/>
          <w:color w:val="333333"/>
          <w:sz w:val="24"/>
          <w:szCs w:val="24"/>
        </w:rPr>
        <w:t xml:space="preserve"> </w:t>
      </w:r>
    </w:p>
    <w:p w:rsidR="00B66C60" w:rsidRDefault="00F60B4D">
      <w:pPr>
        <w:pStyle w:val="normal0"/>
      </w:pPr>
      <w:proofErr w:type="gramStart"/>
      <w:r>
        <w:rPr>
          <w:rFonts w:ascii="Times New Roman" w:eastAsia="Times New Roman" w:hAnsi="Times New Roman" w:cs="Times New Roman"/>
          <w:color w:val="434343"/>
          <w:sz w:val="24"/>
          <w:szCs w:val="24"/>
        </w:rPr>
        <w:t>Case 1 (normal videos) [Video le].</w:t>
      </w:r>
      <w:proofErr w:type="gramEnd"/>
      <w:r>
        <w:rPr>
          <w:rFonts w:ascii="Times New Roman" w:eastAsia="Times New Roman" w:hAnsi="Times New Roman" w:cs="Times New Roman"/>
          <w:color w:val="434343"/>
          <w:sz w:val="24"/>
          <w:szCs w:val="24"/>
        </w:rPr>
        <w:t xml:space="preserve"> Retrieved from</w:t>
      </w:r>
    </w:p>
    <w:p w:rsidR="00B66C60" w:rsidRDefault="00F60B4D">
      <w:pPr>
        <w:pStyle w:val="normal0"/>
        <w:ind w:left="720"/>
      </w:pPr>
      <w:r>
        <w:rPr>
          <w:rFonts w:ascii="Times New Roman" w:eastAsia="Times New Roman" w:hAnsi="Times New Roman" w:cs="Times New Roman"/>
          <w:color w:val="434343"/>
          <w:sz w:val="24"/>
          <w:szCs w:val="24"/>
        </w:rPr>
        <w:t>https://connect.ubc.ca/webapps/osc-BasicLTI-BBLEARN/iframe.jsp</w:t>
      </w:r>
      <w:proofErr w:type="gramStart"/>
      <w:r>
        <w:rPr>
          <w:rFonts w:ascii="Times New Roman" w:eastAsia="Times New Roman" w:hAnsi="Times New Roman" w:cs="Times New Roman"/>
          <w:color w:val="434343"/>
          <w:sz w:val="24"/>
          <w:szCs w:val="24"/>
        </w:rPr>
        <w:t>?course</w:t>
      </w:r>
      <w:proofErr w:type="gramEnd"/>
      <w:r>
        <w:rPr>
          <w:rFonts w:ascii="Times New Roman" w:eastAsia="Times New Roman" w:hAnsi="Times New Roman" w:cs="Times New Roman"/>
          <w:color w:val="434343"/>
          <w:sz w:val="24"/>
          <w:szCs w:val="24"/>
        </w:rPr>
        <w:t>_id=_88243_1&amp;content_id=_4030062_1&amp;id=</w:t>
      </w:r>
    </w:p>
    <w:p w:rsidR="00B66C60" w:rsidRDefault="00B66C60">
      <w:pPr>
        <w:pStyle w:val="normal0"/>
      </w:pPr>
    </w:p>
    <w:p w:rsidR="00B66C60" w:rsidRDefault="00F60B4D">
      <w:pPr>
        <w:pStyle w:val="Heading3"/>
        <w:keepNext w:val="0"/>
        <w:keepLines w:val="0"/>
        <w:spacing w:before="0" w:after="0" w:line="335" w:lineRule="auto"/>
        <w:contextualSpacing w:val="0"/>
      </w:pPr>
      <w:bookmarkStart w:id="1" w:name="_4qqv10tqp7o5" w:colFirst="0" w:colLast="0"/>
      <w:bookmarkEnd w:id="1"/>
      <w:r>
        <w:rPr>
          <w:rFonts w:ascii="Times New Roman" w:eastAsia="Times New Roman" w:hAnsi="Times New Roman" w:cs="Times New Roman"/>
          <w:sz w:val="24"/>
          <w:szCs w:val="24"/>
        </w:rPr>
        <w:t>Case 3: Learning environment 2 with teacher A (science) [Video le]. Retrieved from</w:t>
      </w:r>
    </w:p>
    <w:bookmarkStart w:id="2" w:name="_390h60641bhk" w:colFirst="0" w:colLast="0"/>
    <w:bookmarkEnd w:id="2"/>
    <w:p w:rsidR="00B66C60" w:rsidRDefault="00F60B4D">
      <w:pPr>
        <w:pStyle w:val="Heading3"/>
        <w:keepNext w:val="0"/>
        <w:keepLines w:val="0"/>
        <w:spacing w:before="0" w:after="0" w:line="335" w:lineRule="auto"/>
        <w:ind w:left="720"/>
        <w:contextualSpacing w:val="0"/>
      </w:pPr>
      <w:r>
        <w:fldChar w:fldCharType="begin"/>
      </w:r>
      <w:r>
        <w:instrText xml:space="preserve"> HYPERLINK "https://connect.ubc.ca/webapps/osc-BasicLTI-BBLEAR</w:instrText>
      </w:r>
      <w:r>
        <w:instrText xml:space="preserve">N/iframe.jsp?course_id=_88243_1&amp;content_id=_3936550_1&amp;id=" \h </w:instrText>
      </w:r>
      <w:r>
        <w:fldChar w:fldCharType="separate"/>
      </w:r>
      <w:r>
        <w:rPr>
          <w:rFonts w:ascii="Times New Roman" w:eastAsia="Times New Roman" w:hAnsi="Times New Roman" w:cs="Times New Roman"/>
          <w:sz w:val="24"/>
          <w:szCs w:val="24"/>
        </w:rPr>
        <w:t>https://connect.ubc.ca/webapps/osc-BasicLTI-BBLEARN/iframe.jsp?course_id=_88243_1&amp;content_id=_3936550_1&amp;id=</w:t>
      </w:r>
      <w:r>
        <w:rPr>
          <w:rFonts w:ascii="Times New Roman" w:eastAsia="Times New Roman" w:hAnsi="Times New Roman" w:cs="Times New Roman"/>
          <w:sz w:val="24"/>
          <w:szCs w:val="24"/>
        </w:rPr>
        <w:fldChar w:fldCharType="end"/>
      </w:r>
    </w:p>
    <w:p w:rsidR="00B66C60" w:rsidRDefault="00B66C60">
      <w:pPr>
        <w:pStyle w:val="normal0"/>
      </w:pPr>
    </w:p>
    <w:p w:rsidR="00B66C60" w:rsidRDefault="00F60B4D">
      <w:pPr>
        <w:pStyle w:val="Heading3"/>
        <w:keepNext w:val="0"/>
        <w:keepLines w:val="0"/>
        <w:spacing w:before="0" w:after="0" w:line="335" w:lineRule="auto"/>
        <w:contextualSpacing w:val="0"/>
      </w:pPr>
      <w:bookmarkStart w:id="3" w:name="_r8i77dfohfy1" w:colFirst="0" w:colLast="0"/>
      <w:bookmarkEnd w:id="3"/>
      <w:r>
        <w:rPr>
          <w:rFonts w:ascii="Times New Roman" w:eastAsia="Times New Roman" w:hAnsi="Times New Roman" w:cs="Times New Roman"/>
          <w:sz w:val="24"/>
          <w:szCs w:val="24"/>
        </w:rPr>
        <w:t>Case 6: Learning environment 5 with teacher C (middle school life science) [Video le] Retrieved</w:t>
      </w:r>
    </w:p>
    <w:p w:rsidR="00B66C60" w:rsidRDefault="00F60B4D">
      <w:pPr>
        <w:pStyle w:val="Heading3"/>
        <w:keepNext w:val="0"/>
        <w:keepLines w:val="0"/>
        <w:spacing w:before="0" w:after="0" w:line="335" w:lineRule="auto"/>
        <w:ind w:left="720"/>
        <w:contextualSpacing w:val="0"/>
      </w:pPr>
      <w:bookmarkStart w:id="4" w:name="_7pmj563bdkz" w:colFirst="0" w:colLast="0"/>
      <w:bookmarkEnd w:id="4"/>
      <w:r>
        <w:rPr>
          <w:rFonts w:ascii="Times New Roman" w:eastAsia="Times New Roman" w:hAnsi="Times New Roman" w:cs="Times New Roman"/>
          <w:sz w:val="24"/>
          <w:szCs w:val="24"/>
        </w:rPr>
        <w:lastRenderedPageBreak/>
        <w:t xml:space="preserve">From </w:t>
      </w:r>
      <w:hyperlink r:id="rId10">
        <w:r>
          <w:rPr>
            <w:rFonts w:ascii="Times New Roman" w:eastAsia="Times New Roman" w:hAnsi="Times New Roman" w:cs="Times New Roman"/>
            <w:sz w:val="24"/>
            <w:szCs w:val="24"/>
          </w:rPr>
          <w:t>https://connect.ubc.ca/webap</w:t>
        </w:r>
        <w:r>
          <w:rPr>
            <w:rFonts w:ascii="Times New Roman" w:eastAsia="Times New Roman" w:hAnsi="Times New Roman" w:cs="Times New Roman"/>
            <w:sz w:val="24"/>
            <w:szCs w:val="24"/>
          </w:rPr>
          <w:t>ps/osc-BasicLTI-BBLEARN/iframe.jsp?course_id=_88243_1&amp;content_id=_3936550_1&amp;id=</w:t>
        </w:r>
      </w:hyperlink>
    </w:p>
    <w:p w:rsidR="00B66C60" w:rsidRDefault="00B66C60">
      <w:pPr>
        <w:pStyle w:val="normal0"/>
      </w:pPr>
    </w:p>
    <w:p w:rsidR="00B66C60" w:rsidRDefault="00F60B4D">
      <w:pPr>
        <w:pStyle w:val="normal0"/>
      </w:pPr>
      <w:r>
        <w:rPr>
          <w:rFonts w:ascii="Times New Roman" w:eastAsia="Times New Roman" w:hAnsi="Times New Roman" w:cs="Times New Roman"/>
          <w:color w:val="434343"/>
          <w:sz w:val="24"/>
          <w:szCs w:val="24"/>
        </w:rPr>
        <w:t xml:space="preserve">Clements, D., &amp; </w:t>
      </w:r>
      <w:proofErr w:type="spellStart"/>
      <w:r>
        <w:rPr>
          <w:rFonts w:ascii="Times New Roman" w:eastAsia="Times New Roman" w:hAnsi="Times New Roman" w:cs="Times New Roman"/>
          <w:color w:val="434343"/>
          <w:sz w:val="24"/>
          <w:szCs w:val="24"/>
        </w:rPr>
        <w:t>Sarama</w:t>
      </w:r>
      <w:proofErr w:type="spellEnd"/>
      <w:r>
        <w:rPr>
          <w:rFonts w:ascii="Times New Roman" w:eastAsia="Times New Roman" w:hAnsi="Times New Roman" w:cs="Times New Roman"/>
          <w:color w:val="434343"/>
          <w:sz w:val="24"/>
          <w:szCs w:val="24"/>
        </w:rPr>
        <w:t xml:space="preserve">, J. (2016). </w:t>
      </w:r>
      <w:proofErr w:type="gramStart"/>
      <w:r>
        <w:rPr>
          <w:rFonts w:ascii="Times New Roman" w:eastAsia="Times New Roman" w:hAnsi="Times New Roman" w:cs="Times New Roman"/>
          <w:color w:val="434343"/>
          <w:sz w:val="24"/>
          <w:szCs w:val="24"/>
        </w:rPr>
        <w:t>Math, Science, and Technology in the Early Grades.</w:t>
      </w:r>
      <w:proofErr w:type="gramEnd"/>
      <w:r>
        <w:rPr>
          <w:rFonts w:ascii="Times New Roman" w:eastAsia="Times New Roman" w:hAnsi="Times New Roman" w:cs="Times New Roman"/>
          <w:color w:val="434343"/>
          <w:sz w:val="24"/>
          <w:szCs w:val="24"/>
        </w:rPr>
        <w:t xml:space="preserve"> </w:t>
      </w:r>
      <w:r>
        <w:rPr>
          <w:rFonts w:ascii="Times New Roman" w:eastAsia="Times New Roman" w:hAnsi="Times New Roman" w:cs="Times New Roman"/>
          <w:i/>
          <w:color w:val="434343"/>
          <w:sz w:val="24"/>
          <w:szCs w:val="24"/>
        </w:rPr>
        <w:t>The</w:t>
      </w:r>
    </w:p>
    <w:p w:rsidR="00B66C60" w:rsidRDefault="00F60B4D">
      <w:pPr>
        <w:pStyle w:val="normal0"/>
        <w:ind w:left="720"/>
      </w:pPr>
      <w:proofErr w:type="gramStart"/>
      <w:r>
        <w:rPr>
          <w:rFonts w:ascii="Times New Roman" w:eastAsia="Times New Roman" w:hAnsi="Times New Roman" w:cs="Times New Roman"/>
          <w:i/>
          <w:color w:val="434343"/>
          <w:sz w:val="24"/>
          <w:szCs w:val="24"/>
        </w:rPr>
        <w:t>Future of Children,</w:t>
      </w:r>
      <w:r>
        <w:rPr>
          <w:rFonts w:ascii="Times New Roman" w:eastAsia="Times New Roman" w:hAnsi="Times New Roman" w:cs="Times New Roman"/>
          <w:color w:val="434343"/>
          <w:sz w:val="24"/>
          <w:szCs w:val="24"/>
        </w:rPr>
        <w:t xml:space="preserve"> </w:t>
      </w:r>
      <w:r>
        <w:rPr>
          <w:rFonts w:ascii="Times New Roman" w:eastAsia="Times New Roman" w:hAnsi="Times New Roman" w:cs="Times New Roman"/>
          <w:i/>
          <w:color w:val="434343"/>
          <w:sz w:val="24"/>
          <w:szCs w:val="24"/>
        </w:rPr>
        <w:t>26</w:t>
      </w:r>
      <w:r>
        <w:rPr>
          <w:rFonts w:ascii="Times New Roman" w:eastAsia="Times New Roman" w:hAnsi="Times New Roman" w:cs="Times New Roman"/>
          <w:color w:val="434343"/>
          <w:sz w:val="24"/>
          <w:szCs w:val="24"/>
        </w:rPr>
        <w:t>(2), 75-94.</w:t>
      </w:r>
      <w:proofErr w:type="gramEnd"/>
      <w:r>
        <w:rPr>
          <w:rFonts w:ascii="Times New Roman" w:eastAsia="Times New Roman" w:hAnsi="Times New Roman" w:cs="Times New Roman"/>
          <w:color w:val="434343"/>
          <w:sz w:val="24"/>
          <w:szCs w:val="24"/>
        </w:rPr>
        <w:t xml:space="preserve"> Retrieved from </w:t>
      </w:r>
      <w:hyperlink r:id="rId11">
        <w:r>
          <w:rPr>
            <w:rFonts w:ascii="Times New Roman" w:eastAsia="Times New Roman" w:hAnsi="Times New Roman" w:cs="Times New Roman"/>
            <w:color w:val="434343"/>
            <w:sz w:val="24"/>
            <w:szCs w:val="24"/>
          </w:rPr>
          <w:t>http://www.jstor.org.ezproxy.library.ubc.ca/stable/43940582</w:t>
        </w:r>
      </w:hyperlink>
    </w:p>
    <w:p w:rsidR="00B66C60" w:rsidRDefault="00F60B4D">
      <w:pPr>
        <w:pStyle w:val="normal0"/>
      </w:pP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t xml:space="preserve"> </w:t>
      </w:r>
      <w:r>
        <w:rPr>
          <w:rFonts w:ascii="Times New Roman" w:eastAsia="Times New Roman" w:hAnsi="Times New Roman" w:cs="Times New Roman"/>
          <w:color w:val="434343"/>
          <w:sz w:val="24"/>
          <w:szCs w:val="24"/>
        </w:rPr>
        <w:tab/>
        <w:t xml:space="preserve"> </w:t>
      </w:r>
      <w:r>
        <w:rPr>
          <w:rFonts w:ascii="Times New Roman" w:eastAsia="Times New Roman" w:hAnsi="Times New Roman" w:cs="Times New Roman"/>
          <w:color w:val="434343"/>
          <w:sz w:val="24"/>
          <w:szCs w:val="24"/>
        </w:rPr>
        <w:tab/>
        <w:t xml:space="preserve"> </w:t>
      </w: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p>
    <w:p w:rsidR="00B66C60" w:rsidRDefault="00F60B4D">
      <w:pPr>
        <w:pStyle w:val="normal0"/>
      </w:pPr>
      <w:proofErr w:type="gramStart"/>
      <w:r>
        <w:rPr>
          <w:rFonts w:ascii="Times New Roman" w:eastAsia="Times New Roman" w:hAnsi="Times New Roman" w:cs="Times New Roman"/>
          <w:color w:val="434343"/>
          <w:sz w:val="24"/>
          <w:szCs w:val="24"/>
        </w:rPr>
        <w:t>National Council of Teachers of Mathematics.</w:t>
      </w:r>
      <w:proofErr w:type="gramEnd"/>
      <w:r>
        <w:rPr>
          <w:rFonts w:ascii="Times New Roman" w:eastAsia="Times New Roman" w:hAnsi="Times New Roman" w:cs="Times New Roman"/>
          <w:color w:val="434343"/>
          <w:sz w:val="24"/>
          <w:szCs w:val="24"/>
        </w:rPr>
        <w:t xml:space="preserve"> (2000). </w:t>
      </w:r>
      <w:r>
        <w:rPr>
          <w:rFonts w:ascii="Times New Roman" w:eastAsia="Times New Roman" w:hAnsi="Times New Roman" w:cs="Times New Roman"/>
          <w:i/>
          <w:color w:val="434343"/>
          <w:sz w:val="24"/>
          <w:szCs w:val="24"/>
        </w:rPr>
        <w:t>Principles and standards for school</w:t>
      </w:r>
    </w:p>
    <w:p w:rsidR="00B66C60" w:rsidRDefault="00F60B4D">
      <w:pPr>
        <w:pStyle w:val="normal0"/>
        <w:ind w:firstLine="720"/>
      </w:pPr>
      <w:proofErr w:type="gramStart"/>
      <w:r>
        <w:rPr>
          <w:rFonts w:ascii="Times New Roman" w:eastAsia="Times New Roman" w:hAnsi="Times New Roman" w:cs="Times New Roman"/>
          <w:i/>
          <w:color w:val="434343"/>
          <w:sz w:val="24"/>
          <w:szCs w:val="24"/>
        </w:rPr>
        <w:t>mathematics</w:t>
      </w:r>
      <w:proofErr w:type="gramEnd"/>
      <w:r>
        <w:rPr>
          <w:rFonts w:ascii="Times New Roman" w:eastAsia="Times New Roman" w:hAnsi="Times New Roman" w:cs="Times New Roman"/>
          <w:color w:val="434343"/>
          <w:sz w:val="24"/>
          <w:szCs w:val="24"/>
        </w:rPr>
        <w:t xml:space="preserve">. Reston, VA: Author. </w:t>
      </w:r>
    </w:p>
    <w:p w:rsidR="00B66C60" w:rsidRDefault="00F60B4D">
      <w:pPr>
        <w:pStyle w:val="normal0"/>
      </w:pP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p>
    <w:p w:rsidR="00B66C60" w:rsidRDefault="00F60B4D">
      <w:pPr>
        <w:pStyle w:val="normal0"/>
      </w:pPr>
      <w:proofErr w:type="gramStart"/>
      <w:r>
        <w:rPr>
          <w:rFonts w:ascii="Times New Roman" w:eastAsia="Times New Roman" w:hAnsi="Times New Roman" w:cs="Times New Roman"/>
          <w:color w:val="434343"/>
          <w:sz w:val="24"/>
          <w:szCs w:val="24"/>
        </w:rPr>
        <w:t>Na</w:t>
      </w:r>
      <w:r>
        <w:rPr>
          <w:rFonts w:ascii="Times New Roman" w:eastAsia="Times New Roman" w:hAnsi="Times New Roman" w:cs="Times New Roman"/>
          <w:color w:val="434343"/>
          <w:sz w:val="24"/>
          <w:szCs w:val="24"/>
        </w:rPr>
        <w:t>tional Research Council.</w:t>
      </w:r>
      <w:proofErr w:type="gramEnd"/>
      <w:r>
        <w:rPr>
          <w:rFonts w:ascii="Times New Roman" w:eastAsia="Times New Roman" w:hAnsi="Times New Roman" w:cs="Times New Roman"/>
          <w:color w:val="434343"/>
          <w:sz w:val="24"/>
          <w:szCs w:val="24"/>
        </w:rPr>
        <w:t xml:space="preserve"> (1996)</w:t>
      </w:r>
      <w:proofErr w:type="gramStart"/>
      <w:r>
        <w:rPr>
          <w:rFonts w:ascii="Times New Roman" w:eastAsia="Times New Roman" w:hAnsi="Times New Roman" w:cs="Times New Roman"/>
          <w:color w:val="434343"/>
          <w:sz w:val="24"/>
          <w:szCs w:val="24"/>
        </w:rPr>
        <w:t xml:space="preserve">. </w:t>
      </w:r>
      <w:r>
        <w:rPr>
          <w:rFonts w:ascii="Times New Roman" w:eastAsia="Times New Roman" w:hAnsi="Times New Roman" w:cs="Times New Roman"/>
          <w:i/>
          <w:color w:val="434343"/>
          <w:sz w:val="24"/>
          <w:szCs w:val="24"/>
        </w:rPr>
        <w:t>National science education standards</w:t>
      </w:r>
      <w:r>
        <w:rPr>
          <w:rFonts w:ascii="Times New Roman" w:eastAsia="Times New Roman" w:hAnsi="Times New Roman" w:cs="Times New Roman"/>
          <w:color w:val="434343"/>
          <w:sz w:val="24"/>
          <w:szCs w:val="24"/>
        </w:rPr>
        <w:t>.</w:t>
      </w:r>
      <w:proofErr w:type="gramEnd"/>
      <w:r>
        <w:rPr>
          <w:rFonts w:ascii="Times New Roman" w:eastAsia="Times New Roman" w:hAnsi="Times New Roman" w:cs="Times New Roman"/>
          <w:color w:val="434343"/>
          <w:sz w:val="24"/>
          <w:szCs w:val="24"/>
        </w:rPr>
        <w:t xml:space="preserve"> Washington, DC:</w:t>
      </w:r>
    </w:p>
    <w:p w:rsidR="00B66C60" w:rsidRDefault="00F60B4D">
      <w:pPr>
        <w:pStyle w:val="normal0"/>
        <w:ind w:firstLine="720"/>
      </w:pPr>
      <w:proofErr w:type="gramStart"/>
      <w:r>
        <w:rPr>
          <w:rFonts w:ascii="Times New Roman" w:eastAsia="Times New Roman" w:hAnsi="Times New Roman" w:cs="Times New Roman"/>
          <w:color w:val="434343"/>
          <w:sz w:val="24"/>
          <w:szCs w:val="24"/>
        </w:rPr>
        <w:t>National Academy Press.</w:t>
      </w:r>
      <w:proofErr w:type="gramEnd"/>
      <w:r>
        <w:rPr>
          <w:rFonts w:ascii="Times New Roman" w:eastAsia="Times New Roman" w:hAnsi="Times New Roman" w:cs="Times New Roman"/>
          <w:color w:val="434343"/>
          <w:sz w:val="24"/>
          <w:szCs w:val="24"/>
        </w:rPr>
        <w:t xml:space="preserve"> </w:t>
      </w:r>
    </w:p>
    <w:p w:rsidR="00B66C60" w:rsidRDefault="00F60B4D">
      <w:pPr>
        <w:pStyle w:val="normal0"/>
      </w:pP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p>
    <w:p w:rsidR="00B66C60" w:rsidRDefault="00F60B4D">
      <w:pPr>
        <w:pStyle w:val="normal0"/>
      </w:pPr>
      <w:proofErr w:type="spellStart"/>
      <w:proofErr w:type="gramStart"/>
      <w:r>
        <w:rPr>
          <w:rFonts w:ascii="Times New Roman" w:eastAsia="Times New Roman" w:hAnsi="Times New Roman" w:cs="Times New Roman"/>
          <w:color w:val="434343"/>
          <w:sz w:val="24"/>
          <w:szCs w:val="24"/>
        </w:rPr>
        <w:t>Niess</w:t>
      </w:r>
      <w:proofErr w:type="spellEnd"/>
      <w:r>
        <w:rPr>
          <w:rFonts w:ascii="Times New Roman" w:eastAsia="Times New Roman" w:hAnsi="Times New Roman" w:cs="Times New Roman"/>
          <w:color w:val="434343"/>
          <w:sz w:val="24"/>
          <w:szCs w:val="24"/>
        </w:rPr>
        <w:t>, M. L. (2005).</w:t>
      </w:r>
      <w:proofErr w:type="gramEnd"/>
      <w:r>
        <w:rPr>
          <w:rFonts w:ascii="Times New Roman" w:eastAsia="Times New Roman" w:hAnsi="Times New Roman" w:cs="Times New Roman"/>
          <w:color w:val="434343"/>
          <w:sz w:val="24"/>
          <w:szCs w:val="24"/>
        </w:rPr>
        <w:t xml:space="preserve"> Preparing teachers to teach science and mathematics with technology:</w:t>
      </w:r>
    </w:p>
    <w:p w:rsidR="00B66C60" w:rsidRDefault="00F60B4D">
      <w:pPr>
        <w:pStyle w:val="normal0"/>
        <w:ind w:firstLine="720"/>
      </w:pPr>
      <w:r>
        <w:rPr>
          <w:rFonts w:ascii="Times New Roman" w:eastAsia="Times New Roman" w:hAnsi="Times New Roman" w:cs="Times New Roman"/>
          <w:color w:val="434343"/>
          <w:sz w:val="24"/>
          <w:szCs w:val="24"/>
        </w:rPr>
        <w:t>Developing a technology pedagogical content know</w:t>
      </w:r>
      <w:r>
        <w:rPr>
          <w:rFonts w:ascii="Times New Roman" w:eastAsia="Times New Roman" w:hAnsi="Times New Roman" w:cs="Times New Roman"/>
          <w:color w:val="434343"/>
          <w:sz w:val="24"/>
          <w:szCs w:val="24"/>
        </w:rPr>
        <w:t>ledge. 21(5)</w:t>
      </w:r>
      <w:proofErr w:type="gramStart"/>
      <w:r>
        <w:rPr>
          <w:rFonts w:ascii="Times New Roman" w:eastAsia="Times New Roman" w:hAnsi="Times New Roman" w:cs="Times New Roman"/>
          <w:color w:val="434343"/>
          <w:sz w:val="24"/>
          <w:szCs w:val="24"/>
        </w:rPr>
        <w:t>:509</w:t>
      </w:r>
      <w:proofErr w:type="gramEnd"/>
      <w:r>
        <w:rPr>
          <w:rFonts w:ascii="Times New Roman" w:eastAsia="Times New Roman" w:hAnsi="Times New Roman" w:cs="Times New Roman"/>
          <w:color w:val="434343"/>
          <w:sz w:val="24"/>
          <w:szCs w:val="24"/>
        </w:rPr>
        <w:t xml:space="preserve">–523. </w:t>
      </w:r>
    </w:p>
    <w:p w:rsidR="00B66C60" w:rsidRDefault="00B66C60">
      <w:pPr>
        <w:pStyle w:val="normal0"/>
      </w:pPr>
    </w:p>
    <w:p w:rsidR="00B66C60" w:rsidRDefault="00F60B4D">
      <w:pPr>
        <w:pStyle w:val="normal0"/>
      </w:pPr>
      <w:proofErr w:type="spellStart"/>
      <w:r>
        <w:rPr>
          <w:rFonts w:ascii="Times New Roman" w:eastAsia="Times New Roman" w:hAnsi="Times New Roman" w:cs="Times New Roman"/>
          <w:color w:val="434343"/>
          <w:sz w:val="24"/>
          <w:szCs w:val="24"/>
        </w:rPr>
        <w:t>Sharkawy</w:t>
      </w:r>
      <w:proofErr w:type="spellEnd"/>
      <w:r>
        <w:rPr>
          <w:rFonts w:ascii="Times New Roman" w:eastAsia="Times New Roman" w:hAnsi="Times New Roman" w:cs="Times New Roman"/>
          <w:color w:val="434343"/>
          <w:sz w:val="24"/>
          <w:szCs w:val="24"/>
        </w:rPr>
        <w:t xml:space="preserve">, A., </w:t>
      </w:r>
      <w:proofErr w:type="spellStart"/>
      <w:r>
        <w:rPr>
          <w:rFonts w:ascii="Times New Roman" w:eastAsia="Times New Roman" w:hAnsi="Times New Roman" w:cs="Times New Roman"/>
          <w:color w:val="434343"/>
          <w:sz w:val="24"/>
          <w:szCs w:val="24"/>
        </w:rPr>
        <w:t>Barlex</w:t>
      </w:r>
      <w:proofErr w:type="spellEnd"/>
      <w:r>
        <w:rPr>
          <w:rFonts w:ascii="Times New Roman" w:eastAsia="Times New Roman" w:hAnsi="Times New Roman" w:cs="Times New Roman"/>
          <w:color w:val="434343"/>
          <w:sz w:val="24"/>
          <w:szCs w:val="24"/>
        </w:rPr>
        <w:t xml:space="preserve">, D., Welch, M., </w:t>
      </w:r>
      <w:proofErr w:type="spellStart"/>
      <w:r>
        <w:rPr>
          <w:rFonts w:ascii="Times New Roman" w:eastAsia="Times New Roman" w:hAnsi="Times New Roman" w:cs="Times New Roman"/>
          <w:color w:val="434343"/>
          <w:sz w:val="24"/>
          <w:szCs w:val="24"/>
        </w:rPr>
        <w:t>McDuff</w:t>
      </w:r>
      <w:proofErr w:type="spellEnd"/>
      <w:r>
        <w:rPr>
          <w:rFonts w:ascii="Times New Roman" w:eastAsia="Times New Roman" w:hAnsi="Times New Roman" w:cs="Times New Roman"/>
          <w:color w:val="434343"/>
          <w:sz w:val="24"/>
          <w:szCs w:val="24"/>
        </w:rPr>
        <w:t xml:space="preserve">, J., and Craig, N. (2009). Adapting a curriculum </w:t>
      </w:r>
    </w:p>
    <w:p w:rsidR="00B66C60" w:rsidRDefault="00F60B4D">
      <w:pPr>
        <w:pStyle w:val="normal0"/>
        <w:ind w:left="720"/>
      </w:pPr>
      <w:proofErr w:type="gramStart"/>
      <w:r>
        <w:rPr>
          <w:rFonts w:ascii="Times New Roman" w:eastAsia="Times New Roman" w:hAnsi="Times New Roman" w:cs="Times New Roman"/>
          <w:color w:val="434343"/>
          <w:sz w:val="24"/>
          <w:szCs w:val="24"/>
        </w:rPr>
        <w:t>unit</w:t>
      </w:r>
      <w:proofErr w:type="gramEnd"/>
      <w:r>
        <w:rPr>
          <w:rFonts w:ascii="Times New Roman" w:eastAsia="Times New Roman" w:hAnsi="Times New Roman" w:cs="Times New Roman"/>
          <w:color w:val="434343"/>
          <w:sz w:val="24"/>
          <w:szCs w:val="24"/>
        </w:rPr>
        <w:t xml:space="preserve"> to facilitate interaction between technology, mathematics and science in the elementary classroom: Identifying relevant criteria. Des</w:t>
      </w:r>
      <w:r>
        <w:rPr>
          <w:rFonts w:ascii="Times New Roman" w:eastAsia="Times New Roman" w:hAnsi="Times New Roman" w:cs="Times New Roman"/>
          <w:color w:val="434343"/>
          <w:sz w:val="24"/>
          <w:szCs w:val="24"/>
        </w:rPr>
        <w:t>ign and Technology Education, 14(1)</w:t>
      </w:r>
      <w:proofErr w:type="gramStart"/>
      <w:r>
        <w:rPr>
          <w:rFonts w:ascii="Times New Roman" w:eastAsia="Times New Roman" w:hAnsi="Times New Roman" w:cs="Times New Roman"/>
          <w:color w:val="434343"/>
          <w:sz w:val="24"/>
          <w:szCs w:val="24"/>
        </w:rPr>
        <w:t>:7</w:t>
      </w:r>
      <w:proofErr w:type="gramEnd"/>
      <w:r>
        <w:rPr>
          <w:rFonts w:ascii="Times New Roman" w:eastAsia="Times New Roman" w:hAnsi="Times New Roman" w:cs="Times New Roman"/>
          <w:color w:val="434343"/>
          <w:sz w:val="24"/>
          <w:szCs w:val="24"/>
        </w:rPr>
        <w:t>–20.</w:t>
      </w:r>
    </w:p>
    <w:p w:rsidR="00B66C60" w:rsidRDefault="00B66C60">
      <w:pPr>
        <w:pStyle w:val="normal0"/>
        <w:ind w:left="720"/>
      </w:pPr>
    </w:p>
    <w:p w:rsidR="00B66C60" w:rsidRDefault="00F60B4D">
      <w:pPr>
        <w:pStyle w:val="normal0"/>
      </w:pPr>
      <w:r>
        <w:rPr>
          <w:rFonts w:ascii="Times New Roman" w:eastAsia="Times New Roman" w:hAnsi="Times New Roman" w:cs="Times New Roman"/>
          <w:color w:val="333333"/>
          <w:sz w:val="24"/>
          <w:szCs w:val="24"/>
        </w:rPr>
        <w:t xml:space="preserve">Shulman, L.S. (1987). </w:t>
      </w:r>
      <w:proofErr w:type="gramStart"/>
      <w:r>
        <w:rPr>
          <w:rFonts w:ascii="Times New Roman" w:eastAsia="Times New Roman" w:hAnsi="Times New Roman" w:cs="Times New Roman"/>
          <w:color w:val="333333"/>
          <w:sz w:val="24"/>
          <w:szCs w:val="24"/>
        </w:rPr>
        <w:t>Knowledge and teaching.</w:t>
      </w:r>
      <w:proofErr w:type="gramEnd"/>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The foundations of a new reform.</w:t>
      </w:r>
      <w:proofErr w:type="gramEnd"/>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Harvard</w:t>
      </w:r>
    </w:p>
    <w:p w:rsidR="00B66C60" w:rsidRDefault="00F60B4D">
      <w:pPr>
        <w:pStyle w:val="normal0"/>
        <w:ind w:firstLine="720"/>
      </w:pPr>
      <w:r>
        <w:rPr>
          <w:rFonts w:ascii="Times New Roman" w:eastAsia="Times New Roman" w:hAnsi="Times New Roman" w:cs="Times New Roman"/>
          <w:i/>
          <w:color w:val="333333"/>
          <w:sz w:val="24"/>
          <w:szCs w:val="24"/>
        </w:rPr>
        <w:t>Educational Review, 57</w:t>
      </w:r>
      <w:r>
        <w:rPr>
          <w:rFonts w:ascii="Times New Roman" w:eastAsia="Times New Roman" w:hAnsi="Times New Roman" w:cs="Times New Roman"/>
          <w:color w:val="333333"/>
          <w:sz w:val="24"/>
          <w:szCs w:val="24"/>
        </w:rPr>
        <w:t>(</w:t>
      </w:r>
      <w:proofErr w:type="gramStart"/>
      <w:r>
        <w:rPr>
          <w:rFonts w:ascii="Times New Roman" w:eastAsia="Times New Roman" w:hAnsi="Times New Roman" w:cs="Times New Roman"/>
          <w:color w:val="333333"/>
          <w:sz w:val="24"/>
          <w:szCs w:val="24"/>
        </w:rPr>
        <w:t>1)1</w:t>
      </w:r>
      <w:proofErr w:type="gramEnd"/>
      <w:r>
        <w:rPr>
          <w:rFonts w:ascii="Times New Roman" w:eastAsia="Times New Roman" w:hAnsi="Times New Roman" w:cs="Times New Roman"/>
          <w:color w:val="333333"/>
          <w:sz w:val="24"/>
          <w:szCs w:val="24"/>
        </w:rPr>
        <w:t>-23.</w:t>
      </w:r>
    </w:p>
    <w:p w:rsidR="00B66C60" w:rsidRDefault="00B66C60">
      <w:pPr>
        <w:pStyle w:val="normal0"/>
      </w:pPr>
    </w:p>
    <w:p w:rsidR="00B66C60" w:rsidRDefault="00F60B4D">
      <w:pPr>
        <w:pStyle w:val="normal0"/>
      </w:pPr>
      <w:proofErr w:type="spellStart"/>
      <w:r>
        <w:rPr>
          <w:rFonts w:ascii="Times New Roman" w:eastAsia="Times New Roman" w:hAnsi="Times New Roman" w:cs="Times New Roman"/>
          <w:color w:val="333333"/>
          <w:sz w:val="24"/>
          <w:szCs w:val="24"/>
        </w:rPr>
        <w:t>Sverko</w:t>
      </w:r>
      <w:proofErr w:type="spellEnd"/>
      <w:r>
        <w:rPr>
          <w:rFonts w:ascii="Times New Roman" w:eastAsia="Times New Roman" w:hAnsi="Times New Roman" w:cs="Times New Roman"/>
          <w:color w:val="333333"/>
          <w:sz w:val="24"/>
          <w:szCs w:val="24"/>
        </w:rPr>
        <w:t>, C. (2017, January 22). Wide and varied views on technology in math and science [Web</w:t>
      </w:r>
    </w:p>
    <w:p w:rsidR="00B66C60" w:rsidRDefault="00F60B4D">
      <w:pPr>
        <w:pStyle w:val="normal0"/>
        <w:ind w:left="720"/>
      </w:pPr>
      <w:proofErr w:type="gramStart"/>
      <w:r>
        <w:rPr>
          <w:rFonts w:ascii="Times New Roman" w:eastAsia="Times New Roman" w:hAnsi="Times New Roman" w:cs="Times New Roman"/>
          <w:color w:val="333333"/>
          <w:sz w:val="24"/>
          <w:szCs w:val="24"/>
        </w:rPr>
        <w:t>log</w:t>
      </w:r>
      <w:proofErr w:type="gramEnd"/>
      <w:r>
        <w:rPr>
          <w:rFonts w:ascii="Times New Roman" w:eastAsia="Times New Roman" w:hAnsi="Times New Roman" w:cs="Times New Roman"/>
          <w:color w:val="333333"/>
          <w:sz w:val="24"/>
          <w:szCs w:val="24"/>
        </w:rPr>
        <w:t xml:space="preserve"> message]. Retrieved from https://blogs.ubc.ca/stem2017/2017/01/22/wide-and-varied-views-on-technology-in-math-and-science/</w:t>
      </w:r>
    </w:p>
    <w:p w:rsidR="00B66C60" w:rsidRDefault="00F60B4D">
      <w:pPr>
        <w:pStyle w:val="normal0"/>
        <w:ind w:firstLine="720"/>
      </w:pPr>
      <w:r>
        <w:rPr>
          <w:rFonts w:ascii="Verdana" w:eastAsia="Verdana" w:hAnsi="Verdana" w:cs="Verdana"/>
          <w:color w:val="333333"/>
          <w:sz w:val="20"/>
          <w:szCs w:val="20"/>
        </w:rPr>
        <w:tab/>
      </w:r>
      <w:r>
        <w:rPr>
          <w:rFonts w:ascii="Verdana" w:eastAsia="Verdana" w:hAnsi="Verdana" w:cs="Verdana"/>
          <w:color w:val="333333"/>
          <w:sz w:val="20"/>
          <w:szCs w:val="20"/>
        </w:rPr>
        <w:tab/>
      </w:r>
    </w:p>
    <w:p w:rsidR="00B66C60" w:rsidRDefault="00F60B4D">
      <w:pPr>
        <w:pStyle w:val="normal0"/>
        <w:ind w:firstLine="720"/>
      </w:pPr>
      <w:r>
        <w:rPr>
          <w:rFonts w:ascii="Times New Roman" w:eastAsia="Times New Roman" w:hAnsi="Times New Roman" w:cs="Times New Roman"/>
          <w:color w:val="333333"/>
          <w:sz w:val="24"/>
          <w:szCs w:val="24"/>
        </w:rPr>
        <w:t>Citation in text: (</w:t>
      </w:r>
      <w:proofErr w:type="spellStart"/>
      <w:r>
        <w:rPr>
          <w:rFonts w:ascii="Times New Roman" w:eastAsia="Times New Roman" w:hAnsi="Times New Roman" w:cs="Times New Roman"/>
          <w:color w:val="333333"/>
          <w:sz w:val="24"/>
          <w:szCs w:val="24"/>
        </w:rPr>
        <w:t>Sverko</w:t>
      </w:r>
      <w:proofErr w:type="spellEnd"/>
      <w:r>
        <w:rPr>
          <w:rFonts w:ascii="Times New Roman" w:eastAsia="Times New Roman" w:hAnsi="Times New Roman" w:cs="Times New Roman"/>
          <w:color w:val="333333"/>
          <w:sz w:val="24"/>
          <w:szCs w:val="24"/>
        </w:rPr>
        <w:t xml:space="preserve">, 2017) </w:t>
      </w:r>
      <w:r>
        <w:rPr>
          <w:rFonts w:ascii="Verdana" w:eastAsia="Verdana" w:hAnsi="Verdana" w:cs="Verdana"/>
          <w:color w:val="333333"/>
          <w:sz w:val="20"/>
          <w:szCs w:val="20"/>
        </w:rPr>
        <w:tab/>
        <w:t xml:space="preserve"> </w:t>
      </w:r>
      <w:r>
        <w:rPr>
          <w:rFonts w:ascii="Verdana" w:eastAsia="Verdana" w:hAnsi="Verdana" w:cs="Verdana"/>
          <w:color w:val="333333"/>
          <w:sz w:val="20"/>
          <w:szCs w:val="20"/>
        </w:rPr>
        <w:tab/>
        <w:t xml:space="preserve"> </w:t>
      </w:r>
      <w:r>
        <w:rPr>
          <w:rFonts w:ascii="Verdana" w:eastAsia="Verdana" w:hAnsi="Verdana" w:cs="Verdana"/>
          <w:color w:val="333333"/>
          <w:sz w:val="20"/>
          <w:szCs w:val="20"/>
        </w:rPr>
        <w:tab/>
      </w:r>
      <w:r>
        <w:rPr>
          <w:rFonts w:ascii="Verdana" w:eastAsia="Verdana" w:hAnsi="Verdana" w:cs="Verdana"/>
          <w:color w:val="333333"/>
          <w:sz w:val="20"/>
          <w:szCs w:val="20"/>
        </w:rPr>
        <w:tab/>
      </w:r>
    </w:p>
    <w:p w:rsidR="00B66C60" w:rsidRDefault="00F60B4D">
      <w:pPr>
        <w:pStyle w:val="normal0"/>
        <w:ind w:firstLine="720"/>
      </w:pPr>
      <w:r>
        <w:rPr>
          <w:rFonts w:ascii="Verdana" w:eastAsia="Verdana" w:hAnsi="Verdana" w:cs="Verdana"/>
          <w:color w:val="333333"/>
          <w:sz w:val="20"/>
          <w:szCs w:val="20"/>
        </w:rPr>
        <w:tab/>
      </w:r>
      <w:r>
        <w:rPr>
          <w:rFonts w:ascii="Verdana" w:eastAsia="Verdana" w:hAnsi="Verdana" w:cs="Verdana"/>
          <w:color w:val="333333"/>
          <w:sz w:val="20"/>
          <w:szCs w:val="20"/>
        </w:rPr>
        <w:tab/>
      </w:r>
      <w:r>
        <w:rPr>
          <w:rFonts w:ascii="Verdana" w:eastAsia="Verdana" w:hAnsi="Verdana" w:cs="Verdana"/>
          <w:color w:val="333333"/>
          <w:sz w:val="20"/>
          <w:szCs w:val="20"/>
        </w:rPr>
        <w:tab/>
      </w:r>
    </w:p>
    <w:p w:rsidR="00B66C60" w:rsidRDefault="00F60B4D">
      <w:pPr>
        <w:pStyle w:val="normal0"/>
        <w:ind w:firstLine="720"/>
      </w:pPr>
      <w:r>
        <w:rPr>
          <w:rFonts w:ascii="Verdana" w:eastAsia="Verdana" w:hAnsi="Verdana" w:cs="Verdana"/>
          <w:color w:val="333333"/>
          <w:sz w:val="20"/>
          <w:szCs w:val="20"/>
        </w:rPr>
        <w:tab/>
      </w:r>
      <w:r>
        <w:rPr>
          <w:rFonts w:ascii="Verdana" w:eastAsia="Verdana" w:hAnsi="Verdana" w:cs="Verdana"/>
          <w:color w:val="333333"/>
          <w:sz w:val="20"/>
          <w:szCs w:val="20"/>
        </w:rPr>
        <w:tab/>
      </w:r>
      <w:r>
        <w:rPr>
          <w:rFonts w:ascii="Times New Roman" w:eastAsia="Times New Roman" w:hAnsi="Times New Roman" w:cs="Times New Roman"/>
          <w:color w:val="333333"/>
          <w:sz w:val="24"/>
          <w:szCs w:val="24"/>
        </w:rPr>
        <w:tab/>
      </w:r>
    </w:p>
    <w:p w:rsidR="00B66C60" w:rsidRDefault="00B66C60">
      <w:pPr>
        <w:pStyle w:val="normal0"/>
        <w:ind w:firstLine="720"/>
      </w:pPr>
    </w:p>
    <w:sectPr w:rsidR="00B66C60">
      <w:headerReference w:type="default" r:id="rId12"/>
      <w:headerReference w:type="first" r:id="rId13"/>
      <w:footerReference w:type="first" r:id="rId14"/>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60B4D">
      <w:pPr>
        <w:spacing w:line="240" w:lineRule="auto"/>
      </w:pPr>
      <w:r>
        <w:separator/>
      </w:r>
    </w:p>
  </w:endnote>
  <w:endnote w:type="continuationSeparator" w:id="0">
    <w:p w:rsidR="00000000" w:rsidRDefault="00F60B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60" w:rsidRDefault="00B66C60">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60B4D">
      <w:pPr>
        <w:spacing w:line="240" w:lineRule="auto"/>
      </w:pPr>
      <w:r>
        <w:separator/>
      </w:r>
    </w:p>
  </w:footnote>
  <w:footnote w:type="continuationSeparator" w:id="0">
    <w:p w:rsidR="00000000" w:rsidRDefault="00F60B4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60" w:rsidRDefault="00F60B4D">
    <w:pPr>
      <w:pStyle w:val="normal0"/>
    </w:pPr>
    <w:r>
      <w:t>INTEGRATING TECHNOLOGY WITH MATH AND SCIENCE</w:t>
    </w:r>
    <w:r>
      <w:tab/>
    </w:r>
    <w:r>
      <w:tab/>
    </w:r>
    <w:r>
      <w:tab/>
    </w:r>
    <w:r>
      <w:tab/>
    </w:r>
    <w:r>
      <w:fldChar w:fldCharType="begin"/>
    </w:r>
    <w:r>
      <w:instrText>PAGE</w:instrText>
    </w:r>
    <w:r>
      <w:fldChar w:fldCharType="separate"/>
    </w:r>
    <w:r>
      <w:rPr>
        <w:noProof/>
      </w:rPr>
      <w:t>8</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60" w:rsidRDefault="00F60B4D">
    <w:pPr>
      <w:pStyle w:val="normal0"/>
    </w:pPr>
    <w:r>
      <w:t>Running head: INTEGRATING TECHNOLOGY WITH MATH AND SCIENCE</w:t>
    </w:r>
    <w:r>
      <w:tab/>
    </w:r>
    <w:r>
      <w:tab/>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22660"/>
    <w:multiLevelType w:val="multilevel"/>
    <w:tmpl w:val="C688C5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66C60"/>
    <w:rsid w:val="00B66C60"/>
    <w:rsid w:val="00F60B4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stor.org.ezproxy.library.ubc.ca/stable/43940582"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stor.org.ezproxy.library.ubc.ca/stable/43940582" TargetMode="External"/><Relationship Id="rId9" Type="http://schemas.openxmlformats.org/officeDocument/2006/relationships/hyperlink" Target="https://blogs.ubc.ca/stem2017/2017/01/19/informal-learning-teacher-training-deliberate-use-of-technology/" TargetMode="External"/><Relationship Id="rId10" Type="http://schemas.openxmlformats.org/officeDocument/2006/relationships/hyperlink" Target="https://connect.ubc.ca/webapps/osc-BasicLTI-BBLEARN/iframe.jsp?course_id=_88243_1&amp;content_id=_3936550_1&amp;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2638</Words>
  <Characters>15037</Characters>
  <Application>Microsoft Macintosh Word</Application>
  <DocSecurity>0</DocSecurity>
  <Lines>125</Lines>
  <Paragraphs>35</Paragraphs>
  <ScaleCrop>false</ScaleCrop>
  <Company/>
  <LinksUpToDate>false</LinksUpToDate>
  <CharactersWithSpaces>17640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Travis Holder</cp:lastModifiedBy>
  <cp:revision>2</cp:revision>
  <dcterms:created xsi:type="dcterms:W3CDTF">2017-02-04T05:57:00Z</dcterms:created>
  <dcterms:modified xsi:type="dcterms:W3CDTF">2017-02-04T05:57:00Z</dcterms:modified>
</cp:coreProperties>
</file>