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bookmarkStart w:id="0" w:name="OLE_LINK6"/>
      <w:bookmarkStart w:id="1" w:name="OLE_LINK7"/>
      <w:bookmarkStart w:id="2" w:name="OLE_LINK1"/>
      <w:bookmarkStart w:id="3" w:name="OLE_LINK2"/>
      <w:bookmarkStart w:id="4" w:name="_GoBack"/>
      <w:r w:rsidRPr="00971CF7">
        <w:rPr>
          <w:bCs/>
          <w:color w:val="222222"/>
          <w:bdr w:val="none" w:sz="0" w:space="0" w:color="auto" w:frame="1"/>
        </w:rPr>
        <w:t>Increasing an Entrepreneurial mindset on the University of British Columbia campus through the Alma Mater Society’s Entrepreneurship Hub</w:t>
      </w:r>
    </w:p>
    <w:bookmarkEnd w:id="2"/>
    <w:bookmarkEnd w:id="3"/>
    <w:bookmarkEnd w:id="4"/>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r>
        <w:rPr>
          <w:rFonts w:asciiTheme="minorEastAsia" w:hAnsiTheme="minorEastAsia" w:cstheme="minorEastAsia"/>
        </w:rPr>
        <w:t xml:space="preserve">For </w:t>
      </w: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r>
        <w:rPr>
          <w:rFonts w:asciiTheme="minorEastAsia" w:hAnsiTheme="minorEastAsia" w:cstheme="minorEastAsia"/>
        </w:rPr>
        <w:t>Pranav Marwan</w:t>
      </w: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r>
        <w:rPr>
          <w:rFonts w:asciiTheme="minorEastAsia" w:hAnsiTheme="minorEastAsia" w:cstheme="minorEastAsia"/>
        </w:rPr>
        <w:t>Entrepreneurship</w:t>
      </w:r>
      <w:r>
        <w:rPr>
          <w:rFonts w:asciiTheme="minorEastAsia" w:hAnsiTheme="minorEastAsia" w:cstheme="minorEastAsia"/>
        </w:rPr>
        <w:t xml:space="preserve"> Hub President</w:t>
      </w: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r>
        <w:rPr>
          <w:rFonts w:asciiTheme="minorEastAsia" w:hAnsiTheme="minorEastAsia" w:cstheme="minorEastAsia"/>
        </w:rPr>
        <w:t>University of British Columbia</w:t>
      </w: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r>
        <w:rPr>
          <w:rFonts w:asciiTheme="minorEastAsia" w:hAnsiTheme="minorEastAsia" w:cstheme="minorEastAsia"/>
        </w:rPr>
        <w:t>Vancouver, BC</w:t>
      </w: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r>
        <w:rPr>
          <w:rFonts w:asciiTheme="minorEastAsia" w:hAnsiTheme="minorEastAsia" w:cstheme="minorEastAsia"/>
        </w:rPr>
        <w:t>by</w:t>
      </w: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r>
        <w:rPr>
          <w:rFonts w:asciiTheme="minorEastAsia" w:hAnsiTheme="minorEastAsia" w:cstheme="minorEastAsia"/>
        </w:rPr>
        <w:t>Joao Pedro Neves</w:t>
      </w: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r>
        <w:rPr>
          <w:rFonts w:asciiTheme="minorEastAsia" w:hAnsiTheme="minorEastAsia" w:cstheme="minorEastAsia"/>
        </w:rPr>
        <w:t>ENGL 301 Student</w:t>
      </w: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p>
    <w:p w:rsidR="00954E67" w:rsidRDefault="00954E67" w:rsidP="00954E67">
      <w:pPr>
        <w:widowControl w:val="0"/>
        <w:autoSpaceDE w:val="0"/>
        <w:autoSpaceDN w:val="0"/>
        <w:adjustRightInd w:val="0"/>
        <w:spacing w:line="320" w:lineRule="atLeast"/>
        <w:jc w:val="center"/>
        <w:rPr>
          <w:rFonts w:asciiTheme="minorEastAsia" w:hAnsiTheme="minorEastAsia" w:cstheme="minorEastAsia"/>
        </w:rPr>
      </w:pPr>
      <w:r>
        <w:rPr>
          <w:rFonts w:asciiTheme="minorEastAsia" w:hAnsiTheme="minorEastAsia" w:cstheme="minorEastAsia"/>
        </w:rPr>
        <w:t>March 23</w:t>
      </w:r>
      <w:r>
        <w:rPr>
          <w:rFonts w:asciiTheme="minorEastAsia" w:hAnsiTheme="minorEastAsia" w:cstheme="minorEastAsia"/>
        </w:rPr>
        <w:t>, 2018</w:t>
      </w:r>
    </w:p>
    <w:p w:rsidR="00954E67" w:rsidRDefault="00954E67" w:rsidP="00954E67">
      <w:pPr>
        <w:widowControl w:val="0"/>
        <w:autoSpaceDE w:val="0"/>
        <w:autoSpaceDN w:val="0"/>
        <w:adjustRightInd w:val="0"/>
        <w:spacing w:line="320" w:lineRule="atLeast"/>
        <w:rPr>
          <w:rFonts w:asciiTheme="minorEastAsia" w:hAnsiTheme="minorEastAsia" w:cstheme="minorEastAsia"/>
        </w:rPr>
      </w:pPr>
    </w:p>
    <w:p w:rsidR="00954E67" w:rsidRDefault="00954E67" w:rsidP="00954E67">
      <w:pPr>
        <w:widowControl w:val="0"/>
        <w:autoSpaceDE w:val="0"/>
        <w:autoSpaceDN w:val="0"/>
        <w:adjustRightInd w:val="0"/>
        <w:spacing w:line="320" w:lineRule="atLeast"/>
        <w:rPr>
          <w:rFonts w:asciiTheme="minorEastAsia" w:hAnsiTheme="minorEastAsia" w:cstheme="minorEastAsia"/>
        </w:rPr>
      </w:pPr>
    </w:p>
    <w:p w:rsidR="00954E67" w:rsidRDefault="00954E67" w:rsidP="00954E67">
      <w:pPr>
        <w:widowControl w:val="0"/>
        <w:autoSpaceDE w:val="0"/>
        <w:autoSpaceDN w:val="0"/>
        <w:adjustRightInd w:val="0"/>
        <w:spacing w:line="320" w:lineRule="atLeast"/>
        <w:rPr>
          <w:rFonts w:asciiTheme="minorEastAsia" w:hAnsiTheme="minorEastAsia" w:cstheme="minorEastAsia"/>
        </w:rPr>
      </w:pPr>
    </w:p>
    <w:p w:rsidR="00954E67" w:rsidRPr="003B6F22" w:rsidRDefault="00954E67" w:rsidP="00954E67">
      <w:pPr>
        <w:widowControl w:val="0"/>
        <w:autoSpaceDE w:val="0"/>
        <w:autoSpaceDN w:val="0"/>
        <w:adjustRightInd w:val="0"/>
        <w:jc w:val="center"/>
        <w:rPr>
          <w:rFonts w:asciiTheme="minorEastAsia" w:hAnsiTheme="minorEastAsia" w:cstheme="minorEastAsia"/>
          <w:b/>
        </w:rPr>
      </w:pPr>
      <w:r w:rsidRPr="00336F57">
        <w:rPr>
          <w:rFonts w:asciiTheme="minorEastAsia" w:hAnsiTheme="minorEastAsia" w:cstheme="minorEastAsia"/>
          <w:b/>
        </w:rPr>
        <w:lastRenderedPageBreak/>
        <w:t>TABLE OF CONTENTS</w:t>
      </w:r>
    </w:p>
    <w:p w:rsidR="00954E67" w:rsidRDefault="00954E67" w:rsidP="00954E67">
      <w:pPr>
        <w:widowControl w:val="0"/>
        <w:autoSpaceDE w:val="0"/>
        <w:autoSpaceDN w:val="0"/>
        <w:adjustRightInd w:val="0"/>
        <w:jc w:val="right"/>
        <w:rPr>
          <w:rFonts w:asciiTheme="minorEastAsia" w:hAnsiTheme="minorEastAsia" w:cstheme="minorEastAsia"/>
        </w:rPr>
      </w:pPr>
      <w:r>
        <w:rPr>
          <w:rFonts w:asciiTheme="minorEastAsia" w:hAnsiTheme="minorEastAsia" w:cstheme="minorEastAsia"/>
          <w:b/>
        </w:rPr>
        <w:t>PAGE</w:t>
      </w:r>
    </w:p>
    <w:p w:rsidR="00954E67" w:rsidRPr="00DE6F32" w:rsidRDefault="00954E67" w:rsidP="00954E67">
      <w:pPr>
        <w:widowControl w:val="0"/>
        <w:autoSpaceDE w:val="0"/>
        <w:autoSpaceDN w:val="0"/>
        <w:adjustRightInd w:val="0"/>
        <w:spacing w:line="480" w:lineRule="auto"/>
        <w:jc w:val="right"/>
        <w:rPr>
          <w:rFonts w:asciiTheme="minorEastAsia" w:hAnsiTheme="minorEastAsia" w:cstheme="minorEastAsia"/>
          <w:b/>
        </w:rPr>
      </w:pPr>
      <w:r>
        <w:rPr>
          <w:rFonts w:asciiTheme="minorEastAsia" w:hAnsiTheme="minorEastAsia" w:cstheme="minorEastAsia"/>
        </w:rPr>
        <w:t>ABSTRACT</w:t>
      </w:r>
      <w:proofErr w:type="gramStart"/>
      <w:r>
        <w:rPr>
          <w:rFonts w:asciiTheme="minorEastAsia" w:hAnsiTheme="minorEastAsia" w:cstheme="minorEastAsia"/>
        </w:rPr>
        <w:t>. . . .</w:t>
      </w:r>
      <w:proofErr w:type="gramEnd"/>
      <w:r>
        <w:rPr>
          <w:rFonts w:asciiTheme="minorEastAsia" w:hAnsiTheme="minorEastAsia" w:cstheme="minorEastAsia"/>
        </w:rPr>
        <w:t xml:space="preserve"> .  . . . . . . . . . . . . . . . . . . . . . . . . . . . . . . . . . . . . . . . . . . . . . . . . . . . . . . . . . . . . . 3</w:t>
      </w:r>
    </w:p>
    <w:p w:rsidR="00954E67" w:rsidRDefault="00954E67" w:rsidP="00954E67">
      <w:pPr>
        <w:widowControl w:val="0"/>
        <w:autoSpaceDE w:val="0"/>
        <w:autoSpaceDN w:val="0"/>
        <w:adjustRightInd w:val="0"/>
        <w:spacing w:line="480" w:lineRule="auto"/>
        <w:jc w:val="right"/>
        <w:rPr>
          <w:rFonts w:asciiTheme="minorEastAsia" w:hAnsiTheme="minorEastAsia" w:cstheme="minorEastAsia"/>
        </w:rPr>
      </w:pPr>
    </w:p>
    <w:p w:rsidR="00954E67" w:rsidRPr="00353CA4" w:rsidRDefault="00954E67" w:rsidP="00353CA4">
      <w:pPr>
        <w:widowControl w:val="0"/>
        <w:autoSpaceDE w:val="0"/>
        <w:autoSpaceDN w:val="0"/>
        <w:adjustRightInd w:val="0"/>
        <w:spacing w:line="480" w:lineRule="auto"/>
        <w:jc w:val="center"/>
        <w:rPr>
          <w:rFonts w:asciiTheme="minorEastAsia" w:hAnsiTheme="minorEastAsia" w:cstheme="minorEastAsia"/>
          <w:b/>
        </w:rPr>
      </w:pPr>
      <w:r>
        <w:rPr>
          <w:rFonts w:asciiTheme="minorEastAsia" w:hAnsiTheme="minorEastAsia" w:cstheme="minorEastAsia"/>
        </w:rPr>
        <w:t xml:space="preserve">INTRODUCTION . . . . . . . . . . . . . . . . . . . . . . . . . . . . . . . . . . . . . . . . . . . . . . . . . . . . . . . . . </w:t>
      </w:r>
      <w:proofErr w:type="gramStart"/>
      <w:r>
        <w:rPr>
          <w:rFonts w:asciiTheme="minorEastAsia" w:hAnsiTheme="minorEastAsia" w:cstheme="minorEastAsia"/>
        </w:rPr>
        <w:t>. . . .</w:t>
      </w:r>
      <w:proofErr w:type="gramEnd"/>
      <w:r>
        <w:rPr>
          <w:rFonts w:asciiTheme="minorEastAsia" w:hAnsiTheme="minorEastAsia" w:cstheme="minorEastAsia"/>
        </w:rPr>
        <w:t xml:space="preserve"> </w:t>
      </w:r>
      <w:r w:rsidR="00BC7148">
        <w:rPr>
          <w:rFonts w:asciiTheme="minorEastAsia" w:hAnsiTheme="minorEastAsia" w:cstheme="minorEastAsia"/>
        </w:rPr>
        <w:t>4</w:t>
      </w:r>
    </w:p>
    <w:p w:rsidR="00954E67" w:rsidRDefault="00954E67" w:rsidP="00954E67">
      <w:pPr>
        <w:widowControl w:val="0"/>
        <w:autoSpaceDE w:val="0"/>
        <w:autoSpaceDN w:val="0"/>
        <w:adjustRightInd w:val="0"/>
        <w:spacing w:line="480" w:lineRule="auto"/>
        <w:rPr>
          <w:rFonts w:asciiTheme="minorEastAsia" w:hAnsiTheme="minorEastAsia" w:cstheme="minorEastAsia"/>
        </w:rPr>
      </w:pPr>
      <w:r>
        <w:rPr>
          <w:rFonts w:asciiTheme="minorEastAsia" w:hAnsiTheme="minorEastAsia" w:cstheme="minorEastAsia"/>
        </w:rPr>
        <w:t xml:space="preserve">DATA &amp; </w:t>
      </w:r>
      <w:proofErr w:type="gramStart"/>
      <w:r>
        <w:rPr>
          <w:rFonts w:asciiTheme="minorEastAsia" w:hAnsiTheme="minorEastAsia" w:cstheme="minorEastAsia"/>
        </w:rPr>
        <w:t>ANALYSIS  . . .</w:t>
      </w:r>
      <w:proofErr w:type="gramEnd"/>
      <w:r>
        <w:rPr>
          <w:rFonts w:asciiTheme="minorEastAsia" w:hAnsiTheme="minorEastAsia" w:cstheme="minorEastAsia"/>
        </w:rPr>
        <w:t xml:space="preserve"> . . . . . . . . . . . . . . . . . . . . . . . . . . . . . . . . . . . . . . . . . . . . . . . . . . . . . . </w:t>
      </w:r>
      <w:r w:rsidR="00BC7148">
        <w:rPr>
          <w:rFonts w:asciiTheme="minorEastAsia" w:hAnsiTheme="minorEastAsia" w:cstheme="minorEastAsia"/>
        </w:rPr>
        <w:t>. 5</w:t>
      </w:r>
    </w:p>
    <w:p w:rsidR="00954E67" w:rsidRDefault="00353CA4" w:rsidP="00954E67">
      <w:pPr>
        <w:widowControl w:val="0"/>
        <w:autoSpaceDE w:val="0"/>
        <w:autoSpaceDN w:val="0"/>
        <w:adjustRightInd w:val="0"/>
        <w:spacing w:line="480" w:lineRule="auto"/>
        <w:ind w:left="720"/>
        <w:rPr>
          <w:rFonts w:asciiTheme="minorEastAsia" w:hAnsiTheme="minorEastAsia" w:cstheme="minorEastAsia"/>
        </w:rPr>
      </w:pPr>
      <w:r>
        <w:rPr>
          <w:rFonts w:asciiTheme="minorEastAsia" w:hAnsiTheme="minorEastAsia" w:cstheme="minorEastAsia"/>
        </w:rPr>
        <w:t>Survey Analysis . . .</w:t>
      </w:r>
      <w:r w:rsidR="00954E67">
        <w:rPr>
          <w:rFonts w:asciiTheme="minorEastAsia" w:hAnsiTheme="minorEastAsia" w:cstheme="minorEastAsia"/>
        </w:rPr>
        <w:t xml:space="preserve"> . . . . . . . . . . . . . . . . . . . . . . . . . . . . . . . . . . . . . . . . . . . . . . . . . . . . . . </w:t>
      </w:r>
      <w:r w:rsidR="00BC7148">
        <w:rPr>
          <w:rFonts w:asciiTheme="minorEastAsia" w:hAnsiTheme="minorEastAsia" w:cstheme="minorEastAsia"/>
        </w:rPr>
        <w:t>5</w:t>
      </w:r>
    </w:p>
    <w:p w:rsidR="00954E67" w:rsidRDefault="00353CA4" w:rsidP="00954E67">
      <w:pPr>
        <w:widowControl w:val="0"/>
        <w:autoSpaceDE w:val="0"/>
        <w:autoSpaceDN w:val="0"/>
        <w:adjustRightInd w:val="0"/>
        <w:spacing w:line="480" w:lineRule="auto"/>
        <w:rPr>
          <w:rFonts w:asciiTheme="minorEastAsia" w:hAnsiTheme="minorEastAsia" w:cstheme="minorEastAsia"/>
        </w:rPr>
      </w:pPr>
      <w:r>
        <w:rPr>
          <w:rFonts w:asciiTheme="minorEastAsia" w:hAnsiTheme="minorEastAsia" w:cstheme="minorEastAsia"/>
        </w:rPr>
        <w:tab/>
        <w:t xml:space="preserve">Faculty Involvement . . . </w:t>
      </w:r>
      <w:proofErr w:type="gramStart"/>
      <w:r>
        <w:rPr>
          <w:rFonts w:asciiTheme="minorEastAsia" w:hAnsiTheme="minorEastAsia" w:cstheme="minorEastAsia"/>
        </w:rPr>
        <w:t>. . . .</w:t>
      </w:r>
      <w:proofErr w:type="gramEnd"/>
      <w:r>
        <w:rPr>
          <w:rFonts w:asciiTheme="minorEastAsia" w:hAnsiTheme="minorEastAsia" w:cstheme="minorEastAsia"/>
        </w:rPr>
        <w:t xml:space="preserve"> .</w:t>
      </w:r>
      <w:r w:rsidR="00954E67">
        <w:rPr>
          <w:rFonts w:asciiTheme="minorEastAsia" w:hAnsiTheme="minorEastAsia" w:cstheme="minorEastAsia"/>
        </w:rPr>
        <w:t xml:space="preserve">. . . . . . . . . . . . . . . . . . . . . . . . . . . . . . . . . . . . . . . . . . . . . . </w:t>
      </w:r>
      <w:r w:rsidR="00BC7148">
        <w:rPr>
          <w:rFonts w:asciiTheme="minorEastAsia" w:hAnsiTheme="minorEastAsia" w:cstheme="minorEastAsia"/>
        </w:rPr>
        <w:t>6</w:t>
      </w:r>
    </w:p>
    <w:p w:rsidR="00954E67" w:rsidRDefault="00353CA4" w:rsidP="00954E67">
      <w:pPr>
        <w:widowControl w:val="0"/>
        <w:autoSpaceDE w:val="0"/>
        <w:autoSpaceDN w:val="0"/>
        <w:adjustRightInd w:val="0"/>
        <w:spacing w:line="480" w:lineRule="auto"/>
        <w:rPr>
          <w:rFonts w:asciiTheme="minorEastAsia" w:hAnsiTheme="minorEastAsia" w:cstheme="minorEastAsia"/>
        </w:rPr>
      </w:pPr>
      <w:r>
        <w:rPr>
          <w:rFonts w:asciiTheme="minorEastAsia" w:hAnsiTheme="minorEastAsia" w:cstheme="minorEastAsia"/>
        </w:rPr>
        <w:tab/>
        <w:t>Marketing Campaign</w:t>
      </w:r>
      <w:r w:rsidR="00954E67">
        <w:rPr>
          <w:rFonts w:asciiTheme="minorEastAsia" w:hAnsiTheme="minorEastAsia" w:cstheme="minorEastAsia"/>
        </w:rPr>
        <w:t xml:space="preserve"> . . . . . . . . . . . . . . . . . . . . . . . . . . . . . . . . . . . . . . . . . . . . . . . . </w:t>
      </w:r>
      <w:proofErr w:type="gramStart"/>
      <w:r w:rsidR="00954E67">
        <w:rPr>
          <w:rFonts w:asciiTheme="minorEastAsia" w:hAnsiTheme="minorEastAsia" w:cstheme="minorEastAsia"/>
        </w:rPr>
        <w:t>. . . .</w:t>
      </w:r>
      <w:proofErr w:type="gramEnd"/>
      <w:r w:rsidR="00954E67">
        <w:rPr>
          <w:rFonts w:asciiTheme="minorEastAsia" w:hAnsiTheme="minorEastAsia" w:cstheme="minorEastAsia"/>
        </w:rPr>
        <w:t xml:space="preserve"> . </w:t>
      </w:r>
      <w:r w:rsidR="00BC7148">
        <w:rPr>
          <w:rFonts w:asciiTheme="minorEastAsia" w:hAnsiTheme="minorEastAsia" w:cstheme="minorEastAsia"/>
        </w:rPr>
        <w:t>8</w:t>
      </w:r>
      <w:r w:rsidR="00954E67">
        <w:rPr>
          <w:rFonts w:asciiTheme="minorEastAsia" w:hAnsiTheme="minorEastAsia" w:cstheme="minorEastAsia"/>
        </w:rPr>
        <w:br/>
      </w:r>
      <w:proofErr w:type="gramStart"/>
      <w:r w:rsidR="00954E67">
        <w:rPr>
          <w:rFonts w:asciiTheme="minorEastAsia" w:hAnsiTheme="minorEastAsia" w:cstheme="minorEastAsia"/>
        </w:rPr>
        <w:t>CONCLUSION  . . .</w:t>
      </w:r>
      <w:proofErr w:type="gramEnd"/>
      <w:r w:rsidR="00954E67">
        <w:rPr>
          <w:rFonts w:asciiTheme="minorEastAsia" w:hAnsiTheme="minorEastAsia" w:cstheme="minorEastAsia"/>
        </w:rPr>
        <w:t xml:space="preserve"> . . . . . . . . . . . . . . . . . . . . . . . . . . . . . . . . . . . . . . . . . . . . . . . . . . . . . . . . . . . </w:t>
      </w:r>
      <w:r w:rsidR="00BC7148">
        <w:rPr>
          <w:rFonts w:asciiTheme="minorEastAsia" w:hAnsiTheme="minorEastAsia" w:cstheme="minorEastAsia"/>
        </w:rPr>
        <w:t>9</w:t>
      </w:r>
    </w:p>
    <w:p w:rsidR="00954E67" w:rsidRDefault="00954E67" w:rsidP="00954E67">
      <w:pPr>
        <w:widowControl w:val="0"/>
        <w:autoSpaceDE w:val="0"/>
        <w:autoSpaceDN w:val="0"/>
        <w:adjustRightInd w:val="0"/>
        <w:spacing w:line="480" w:lineRule="auto"/>
        <w:ind w:left="720"/>
        <w:rPr>
          <w:rFonts w:asciiTheme="minorEastAsia" w:hAnsiTheme="minorEastAsia" w:cstheme="minorEastAsia"/>
        </w:rPr>
      </w:pPr>
      <w:proofErr w:type="gramStart"/>
      <w:r>
        <w:rPr>
          <w:rFonts w:asciiTheme="minorEastAsia" w:hAnsiTheme="minorEastAsia" w:cstheme="minorEastAsia"/>
        </w:rPr>
        <w:t>Summary  . . .</w:t>
      </w:r>
      <w:proofErr w:type="gramEnd"/>
      <w:r>
        <w:rPr>
          <w:rFonts w:asciiTheme="minorEastAsia" w:hAnsiTheme="minorEastAsia" w:cstheme="minorEastAsia"/>
        </w:rPr>
        <w:t xml:space="preserve"> . . . . . . . . . . . . . . . . . . . . . . . . . . . . . . . . . . . . . . . . . . . . . . . . . . . . . . . . . .</w:t>
      </w:r>
      <w:r w:rsidR="00BC7148">
        <w:rPr>
          <w:rFonts w:asciiTheme="minorEastAsia" w:hAnsiTheme="minorEastAsia" w:cstheme="minorEastAsia"/>
        </w:rPr>
        <w:t xml:space="preserve"> 9</w:t>
      </w:r>
    </w:p>
    <w:p w:rsidR="00954E67" w:rsidRDefault="00954E67" w:rsidP="00353CA4">
      <w:pPr>
        <w:widowControl w:val="0"/>
        <w:autoSpaceDE w:val="0"/>
        <w:autoSpaceDN w:val="0"/>
        <w:adjustRightInd w:val="0"/>
        <w:spacing w:line="480" w:lineRule="auto"/>
        <w:ind w:left="720"/>
        <w:rPr>
          <w:rFonts w:asciiTheme="minorEastAsia" w:hAnsiTheme="minorEastAsia" w:cstheme="minorEastAsia"/>
        </w:rPr>
      </w:pPr>
      <w:r>
        <w:rPr>
          <w:rFonts w:asciiTheme="minorEastAsia" w:hAnsiTheme="minorEastAsia" w:cstheme="minorEastAsia"/>
        </w:rPr>
        <w:t xml:space="preserve">Recommendation . . . . . . . . . . . . . . . . . . . . . . . . . . . . . . . . . . . . . . . . . . . . . . . . . . . </w:t>
      </w:r>
      <w:proofErr w:type="gramStart"/>
      <w:r>
        <w:rPr>
          <w:rFonts w:asciiTheme="minorEastAsia" w:hAnsiTheme="minorEastAsia" w:cstheme="minorEastAsia"/>
        </w:rPr>
        <w:t xml:space="preserve">. . </w:t>
      </w:r>
      <w:r w:rsidR="006336E3">
        <w:rPr>
          <w:rFonts w:asciiTheme="minorEastAsia" w:hAnsiTheme="minorEastAsia" w:cstheme="minorEastAsia"/>
        </w:rPr>
        <w:t>. .</w:t>
      </w:r>
      <w:proofErr w:type="gramEnd"/>
      <w:r w:rsidR="006336E3">
        <w:rPr>
          <w:rFonts w:asciiTheme="minorEastAsia" w:hAnsiTheme="minorEastAsia" w:cstheme="minorEastAsia"/>
        </w:rPr>
        <w:t xml:space="preserve"> 9</w:t>
      </w:r>
    </w:p>
    <w:p w:rsidR="007F6B31" w:rsidRDefault="00954E67" w:rsidP="00954E67">
      <w:pPr>
        <w:widowControl w:val="0"/>
        <w:autoSpaceDE w:val="0"/>
        <w:autoSpaceDN w:val="0"/>
        <w:adjustRightInd w:val="0"/>
        <w:spacing w:line="480" w:lineRule="auto"/>
        <w:rPr>
          <w:rFonts w:asciiTheme="minorEastAsia" w:hAnsiTheme="minorEastAsia" w:cstheme="minorEastAsia"/>
        </w:rPr>
      </w:pPr>
      <w:r>
        <w:rPr>
          <w:rFonts w:asciiTheme="minorEastAsia" w:hAnsiTheme="minorEastAsia" w:cstheme="minorEastAsia"/>
        </w:rPr>
        <w:t xml:space="preserve">WORK </w:t>
      </w:r>
      <w:proofErr w:type="gramStart"/>
      <w:r>
        <w:rPr>
          <w:rFonts w:asciiTheme="minorEastAsia" w:hAnsiTheme="minorEastAsia" w:cstheme="minorEastAsia"/>
        </w:rPr>
        <w:t>CITED  . . .</w:t>
      </w:r>
      <w:proofErr w:type="gramEnd"/>
      <w:r>
        <w:rPr>
          <w:rFonts w:asciiTheme="minorEastAsia" w:hAnsiTheme="minorEastAsia" w:cstheme="minorEastAsia"/>
        </w:rPr>
        <w:t xml:space="preserve"> . . . . . . . . . . . . .. . . . . . . . . . . . . . . . . . . . . . . . . . . . . . . . . . . . . . . . . . . . . . . </w:t>
      </w:r>
      <w:r w:rsidR="006336E3">
        <w:rPr>
          <w:rFonts w:asciiTheme="minorEastAsia" w:hAnsiTheme="minorEastAsia" w:cstheme="minorEastAsia"/>
        </w:rPr>
        <w:t>10</w:t>
      </w:r>
    </w:p>
    <w:p w:rsidR="00353CA4" w:rsidRDefault="00353CA4" w:rsidP="00353CA4">
      <w:pPr>
        <w:widowControl w:val="0"/>
        <w:autoSpaceDE w:val="0"/>
        <w:autoSpaceDN w:val="0"/>
        <w:adjustRightInd w:val="0"/>
        <w:jc w:val="center"/>
        <w:rPr>
          <w:rFonts w:asciiTheme="minorEastAsia" w:hAnsiTheme="minorEastAsia" w:cstheme="minorEastAsia"/>
          <w:b/>
        </w:rPr>
      </w:pPr>
      <w:r>
        <w:rPr>
          <w:rFonts w:asciiTheme="minorEastAsia" w:hAnsiTheme="minorEastAsia" w:cstheme="minorEastAsia"/>
          <w:b/>
        </w:rPr>
        <w:t>Figures and Tables</w:t>
      </w:r>
    </w:p>
    <w:p w:rsidR="00353CA4" w:rsidRDefault="00353CA4" w:rsidP="00353CA4">
      <w:pPr>
        <w:widowControl w:val="0"/>
        <w:autoSpaceDE w:val="0"/>
        <w:autoSpaceDN w:val="0"/>
        <w:adjustRightInd w:val="0"/>
        <w:spacing w:line="480" w:lineRule="auto"/>
        <w:jc w:val="center"/>
        <w:rPr>
          <w:rFonts w:asciiTheme="minorEastAsia" w:hAnsiTheme="minorEastAsia" w:cstheme="minorEastAsia"/>
          <w:b/>
        </w:rPr>
      </w:pPr>
      <w:r w:rsidRPr="00353CA4">
        <w:rPr>
          <w:rFonts w:asciiTheme="minorEastAsia" w:hAnsiTheme="minorEastAsia" w:cstheme="minorEastAsia"/>
          <w:i/>
        </w:rPr>
        <w:t>GRAPH 1</w:t>
      </w:r>
      <w:r>
        <w:rPr>
          <w:rFonts w:asciiTheme="minorEastAsia" w:hAnsiTheme="minorEastAsia" w:cstheme="minorEastAsia"/>
        </w:rPr>
        <w:t xml:space="preserve">. . . . . . . . . . . . . . . . . . . . . . . . . . . . . . . . . . . . . . . . . . . . . . . . . . . . . . . . . </w:t>
      </w:r>
      <w:proofErr w:type="gramStart"/>
      <w:r>
        <w:rPr>
          <w:rFonts w:asciiTheme="minorEastAsia" w:hAnsiTheme="minorEastAsia" w:cstheme="minorEastAsia"/>
        </w:rPr>
        <w:t>. . . .</w:t>
      </w:r>
      <w:proofErr w:type="gramEnd"/>
      <w:r>
        <w:rPr>
          <w:rFonts w:asciiTheme="minorEastAsia" w:hAnsiTheme="minorEastAsia" w:cstheme="minorEastAsia"/>
        </w:rPr>
        <w:t xml:space="preserve"> </w:t>
      </w:r>
      <w:r w:rsidR="00BC7148">
        <w:rPr>
          <w:rFonts w:asciiTheme="minorEastAsia" w:hAnsiTheme="minorEastAsia" w:cstheme="minorEastAsia"/>
        </w:rPr>
        <w:t>6</w:t>
      </w:r>
    </w:p>
    <w:p w:rsidR="00353CA4" w:rsidRDefault="00353CA4" w:rsidP="00353CA4">
      <w:pPr>
        <w:widowControl w:val="0"/>
        <w:autoSpaceDE w:val="0"/>
        <w:autoSpaceDN w:val="0"/>
        <w:adjustRightInd w:val="0"/>
        <w:spacing w:line="480" w:lineRule="auto"/>
        <w:jc w:val="center"/>
        <w:rPr>
          <w:rFonts w:asciiTheme="minorEastAsia" w:hAnsiTheme="minorEastAsia" w:cstheme="minorEastAsia"/>
          <w:b/>
        </w:rPr>
      </w:pPr>
      <w:r w:rsidRPr="00353CA4">
        <w:rPr>
          <w:rFonts w:asciiTheme="minorEastAsia" w:hAnsiTheme="minorEastAsia" w:cstheme="minorEastAsia"/>
          <w:i/>
        </w:rPr>
        <w:t>GRAPH 2</w:t>
      </w:r>
      <w:r>
        <w:rPr>
          <w:rFonts w:asciiTheme="minorEastAsia" w:hAnsiTheme="minorEastAsia" w:cstheme="minorEastAsia"/>
        </w:rPr>
        <w:t xml:space="preserve"> . . . . . . . . . . . . . . . . . . . . . . . . . . . . . . . . . . . . . . . . . . . . . . . . . . . . . . . . . </w:t>
      </w:r>
      <w:proofErr w:type="gramStart"/>
      <w:r>
        <w:rPr>
          <w:rFonts w:asciiTheme="minorEastAsia" w:hAnsiTheme="minorEastAsia" w:cstheme="minorEastAsia"/>
        </w:rPr>
        <w:t>. . . .</w:t>
      </w:r>
      <w:proofErr w:type="gramEnd"/>
      <w:r>
        <w:rPr>
          <w:rFonts w:asciiTheme="minorEastAsia" w:hAnsiTheme="minorEastAsia" w:cstheme="minorEastAsia"/>
        </w:rPr>
        <w:t xml:space="preserve"> </w:t>
      </w:r>
      <w:r w:rsidR="00BC7148">
        <w:rPr>
          <w:rFonts w:asciiTheme="minorEastAsia" w:hAnsiTheme="minorEastAsia" w:cstheme="minorEastAsia"/>
        </w:rPr>
        <w:t>7</w:t>
      </w:r>
    </w:p>
    <w:p w:rsidR="00353CA4" w:rsidRDefault="00353CA4" w:rsidP="00353CA4">
      <w:pPr>
        <w:widowControl w:val="0"/>
        <w:autoSpaceDE w:val="0"/>
        <w:autoSpaceDN w:val="0"/>
        <w:adjustRightInd w:val="0"/>
        <w:spacing w:line="480" w:lineRule="auto"/>
        <w:jc w:val="center"/>
        <w:rPr>
          <w:rFonts w:asciiTheme="minorEastAsia" w:hAnsiTheme="minorEastAsia" w:cstheme="minorEastAsia"/>
        </w:rPr>
      </w:pPr>
      <w:r w:rsidRPr="00353CA4">
        <w:rPr>
          <w:rFonts w:asciiTheme="minorEastAsia" w:hAnsiTheme="minorEastAsia" w:cstheme="minorEastAsia"/>
          <w:i/>
        </w:rPr>
        <w:t>GRAPH 3</w:t>
      </w:r>
      <w:r>
        <w:rPr>
          <w:rFonts w:asciiTheme="minorEastAsia" w:hAnsiTheme="minorEastAsia" w:cstheme="minorEastAsia"/>
        </w:rPr>
        <w:t xml:space="preserve"> . . . . . . . . . . . . . . . . . . . . . . . . . . . . . . . . . . . . . . . . . . . . . . . . . . . . . . . . . </w:t>
      </w:r>
      <w:proofErr w:type="gramStart"/>
      <w:r>
        <w:rPr>
          <w:rFonts w:asciiTheme="minorEastAsia" w:hAnsiTheme="minorEastAsia" w:cstheme="minorEastAsia"/>
        </w:rPr>
        <w:t>. . . .</w:t>
      </w:r>
      <w:proofErr w:type="gramEnd"/>
      <w:r>
        <w:rPr>
          <w:rFonts w:asciiTheme="minorEastAsia" w:hAnsiTheme="minorEastAsia" w:cstheme="minorEastAsia"/>
        </w:rPr>
        <w:t xml:space="preserve"> </w:t>
      </w:r>
      <w:r w:rsidR="00BC7148">
        <w:rPr>
          <w:rFonts w:asciiTheme="minorEastAsia" w:hAnsiTheme="minorEastAsia" w:cstheme="minorEastAsia"/>
        </w:rPr>
        <w:t>8</w:t>
      </w:r>
    </w:p>
    <w:p w:rsidR="00BC7148" w:rsidRDefault="00BC7148" w:rsidP="00353CA4">
      <w:pPr>
        <w:widowControl w:val="0"/>
        <w:autoSpaceDE w:val="0"/>
        <w:autoSpaceDN w:val="0"/>
        <w:adjustRightInd w:val="0"/>
        <w:spacing w:line="480" w:lineRule="auto"/>
        <w:jc w:val="center"/>
        <w:rPr>
          <w:rFonts w:asciiTheme="minorEastAsia" w:hAnsiTheme="minorEastAsia" w:cstheme="minorEastAsia"/>
        </w:rPr>
      </w:pPr>
    </w:p>
    <w:p w:rsidR="00BC7148" w:rsidRDefault="00BC7148" w:rsidP="00353CA4">
      <w:pPr>
        <w:widowControl w:val="0"/>
        <w:autoSpaceDE w:val="0"/>
        <w:autoSpaceDN w:val="0"/>
        <w:adjustRightInd w:val="0"/>
        <w:spacing w:line="480" w:lineRule="auto"/>
        <w:jc w:val="center"/>
        <w:rPr>
          <w:rFonts w:asciiTheme="minorEastAsia" w:hAnsiTheme="minorEastAsia" w:cstheme="minorEastAsia"/>
        </w:rPr>
      </w:pPr>
    </w:p>
    <w:p w:rsidR="00BC7148" w:rsidRDefault="00BC7148" w:rsidP="00353CA4">
      <w:pPr>
        <w:widowControl w:val="0"/>
        <w:autoSpaceDE w:val="0"/>
        <w:autoSpaceDN w:val="0"/>
        <w:adjustRightInd w:val="0"/>
        <w:spacing w:line="480" w:lineRule="auto"/>
        <w:jc w:val="center"/>
        <w:rPr>
          <w:rFonts w:asciiTheme="minorEastAsia" w:hAnsiTheme="minorEastAsia" w:cstheme="minorEastAsia"/>
        </w:rPr>
      </w:pPr>
    </w:p>
    <w:p w:rsidR="00BC7148" w:rsidRDefault="00BC7148" w:rsidP="00353CA4">
      <w:pPr>
        <w:widowControl w:val="0"/>
        <w:autoSpaceDE w:val="0"/>
        <w:autoSpaceDN w:val="0"/>
        <w:adjustRightInd w:val="0"/>
        <w:spacing w:line="480" w:lineRule="auto"/>
        <w:jc w:val="center"/>
        <w:rPr>
          <w:rFonts w:asciiTheme="minorEastAsia" w:hAnsiTheme="minorEastAsia" w:cstheme="minorEastAsia"/>
        </w:rPr>
      </w:pPr>
    </w:p>
    <w:p w:rsidR="00BC7148" w:rsidRDefault="00BC7148" w:rsidP="00353CA4">
      <w:pPr>
        <w:widowControl w:val="0"/>
        <w:autoSpaceDE w:val="0"/>
        <w:autoSpaceDN w:val="0"/>
        <w:adjustRightInd w:val="0"/>
        <w:spacing w:line="480" w:lineRule="auto"/>
        <w:jc w:val="center"/>
        <w:rPr>
          <w:rFonts w:asciiTheme="minorEastAsia" w:hAnsiTheme="minorEastAsia" w:cstheme="minorEastAsia"/>
        </w:rPr>
      </w:pPr>
    </w:p>
    <w:p w:rsidR="00BC7148" w:rsidRDefault="00BC7148" w:rsidP="00353CA4">
      <w:pPr>
        <w:widowControl w:val="0"/>
        <w:autoSpaceDE w:val="0"/>
        <w:autoSpaceDN w:val="0"/>
        <w:adjustRightInd w:val="0"/>
        <w:spacing w:line="480" w:lineRule="auto"/>
        <w:jc w:val="center"/>
        <w:rPr>
          <w:rFonts w:asciiTheme="minorEastAsia" w:hAnsiTheme="minorEastAsia" w:cstheme="minorEastAsia"/>
        </w:rPr>
      </w:pPr>
    </w:p>
    <w:p w:rsidR="00BC7148" w:rsidRDefault="00BC7148" w:rsidP="00353CA4">
      <w:pPr>
        <w:widowControl w:val="0"/>
        <w:autoSpaceDE w:val="0"/>
        <w:autoSpaceDN w:val="0"/>
        <w:adjustRightInd w:val="0"/>
        <w:spacing w:line="480" w:lineRule="auto"/>
        <w:jc w:val="center"/>
        <w:rPr>
          <w:rFonts w:asciiTheme="minorEastAsia" w:hAnsiTheme="minorEastAsia" w:cstheme="minorEastAsia"/>
        </w:rPr>
      </w:pPr>
    </w:p>
    <w:p w:rsidR="00BC7148" w:rsidRDefault="00BC7148" w:rsidP="00353CA4">
      <w:pPr>
        <w:widowControl w:val="0"/>
        <w:autoSpaceDE w:val="0"/>
        <w:autoSpaceDN w:val="0"/>
        <w:adjustRightInd w:val="0"/>
        <w:spacing w:line="480" w:lineRule="auto"/>
        <w:jc w:val="center"/>
        <w:rPr>
          <w:rFonts w:asciiTheme="minorEastAsia" w:hAnsiTheme="minorEastAsia" w:cstheme="minorEastAsia"/>
        </w:rPr>
      </w:pPr>
    </w:p>
    <w:p w:rsidR="00BC7148" w:rsidRPr="00BC7148" w:rsidRDefault="00BC7148" w:rsidP="00353CA4">
      <w:pPr>
        <w:widowControl w:val="0"/>
        <w:autoSpaceDE w:val="0"/>
        <w:autoSpaceDN w:val="0"/>
        <w:adjustRightInd w:val="0"/>
        <w:spacing w:line="480" w:lineRule="auto"/>
        <w:jc w:val="center"/>
        <w:rPr>
          <w:rFonts w:asciiTheme="minorEastAsia" w:hAnsiTheme="minorEastAsia" w:cstheme="minorEastAsia"/>
          <w:b/>
        </w:rPr>
      </w:pPr>
      <w:r>
        <w:rPr>
          <w:rFonts w:asciiTheme="minorEastAsia" w:hAnsiTheme="minorEastAsia" w:cstheme="minorEastAsia"/>
          <w:b/>
        </w:rPr>
        <w:lastRenderedPageBreak/>
        <w:t>Abstract</w:t>
      </w:r>
    </w:p>
    <w:p w:rsidR="00353CA4" w:rsidRPr="003B6F22" w:rsidRDefault="00353CA4" w:rsidP="00353CA4">
      <w:pPr>
        <w:widowControl w:val="0"/>
        <w:autoSpaceDE w:val="0"/>
        <w:autoSpaceDN w:val="0"/>
        <w:adjustRightInd w:val="0"/>
        <w:jc w:val="center"/>
        <w:rPr>
          <w:rFonts w:asciiTheme="minorEastAsia" w:hAnsiTheme="minorEastAsia" w:cstheme="minorEastAsia"/>
          <w:b/>
        </w:rPr>
      </w:pPr>
    </w:p>
    <w:p w:rsidR="00353CA4" w:rsidRDefault="00353CA4"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Default="00BC7148" w:rsidP="00954E67">
      <w:pPr>
        <w:widowControl w:val="0"/>
        <w:autoSpaceDE w:val="0"/>
        <w:autoSpaceDN w:val="0"/>
        <w:adjustRightInd w:val="0"/>
        <w:spacing w:line="480" w:lineRule="auto"/>
        <w:rPr>
          <w:rFonts w:asciiTheme="minorEastAsia" w:hAnsiTheme="minorEastAsia" w:cstheme="minorEastAsia"/>
        </w:rPr>
      </w:pPr>
    </w:p>
    <w:p w:rsidR="00BC7148" w:rsidRPr="00954E67" w:rsidRDefault="00BC7148" w:rsidP="00954E67">
      <w:pPr>
        <w:widowControl w:val="0"/>
        <w:autoSpaceDE w:val="0"/>
        <w:autoSpaceDN w:val="0"/>
        <w:adjustRightInd w:val="0"/>
        <w:spacing w:line="480" w:lineRule="auto"/>
        <w:rPr>
          <w:rFonts w:asciiTheme="minorEastAsia" w:hAnsiTheme="minorEastAsia" w:cstheme="minorEastAsia"/>
        </w:rPr>
      </w:pPr>
    </w:p>
    <w:p w:rsidR="007F6B31" w:rsidRPr="000D65CF" w:rsidRDefault="00F470A7" w:rsidP="00F470A7">
      <w:pPr>
        <w:jc w:val="center"/>
        <w:rPr>
          <w:b/>
          <w:color w:val="222222"/>
        </w:rPr>
      </w:pPr>
      <w:r>
        <w:rPr>
          <w:b/>
          <w:color w:val="222222"/>
        </w:rPr>
        <w:lastRenderedPageBreak/>
        <w:t>Introduction</w:t>
      </w:r>
    </w:p>
    <w:p w:rsidR="007F6B31" w:rsidRPr="00026951" w:rsidRDefault="007F6B31" w:rsidP="007F6B31">
      <w:pPr>
        <w:rPr>
          <w:b/>
        </w:rPr>
      </w:pPr>
    </w:p>
    <w:p w:rsidR="00026951" w:rsidRPr="00026951" w:rsidRDefault="00EC1983" w:rsidP="00BC7148">
      <w:pPr>
        <w:spacing w:line="480" w:lineRule="auto"/>
        <w:ind w:firstLine="720"/>
      </w:pPr>
      <w:r w:rsidRPr="00026951">
        <w:t xml:space="preserve">The University of British Columbia’s Alma Mater Society has recently launched </w:t>
      </w:r>
      <w:r w:rsidR="00402FF9" w:rsidRPr="00026951">
        <w:t>a</w:t>
      </w:r>
      <w:r w:rsidRPr="00026951">
        <w:t xml:space="preserve"> new startup company to be av</w:t>
      </w:r>
      <w:r w:rsidR="00971CF7" w:rsidRPr="00026951">
        <w:t xml:space="preserve">ailable to all students called: </w:t>
      </w:r>
      <w:r w:rsidRPr="00026951">
        <w:t>The Entrepreneurship Hub</w:t>
      </w:r>
      <w:r w:rsidR="00402FF9" w:rsidRPr="00026951">
        <w:t xml:space="preserve"> (</w:t>
      </w:r>
      <w:proofErr w:type="spellStart"/>
      <w:r w:rsidR="00402FF9" w:rsidRPr="00026951">
        <w:t>EHub</w:t>
      </w:r>
      <w:proofErr w:type="spellEnd"/>
      <w:r w:rsidR="00402FF9" w:rsidRPr="00026951">
        <w:t xml:space="preserve">). The </w:t>
      </w:r>
      <w:proofErr w:type="spellStart"/>
      <w:r w:rsidRPr="00026951">
        <w:t>EHub</w:t>
      </w:r>
      <w:proofErr w:type="spellEnd"/>
      <w:r w:rsidRPr="00026951">
        <w:t xml:space="preserve"> was designed by former students in order to increase the entrepreneur mindset on campus and challenge well known universities across the globe. </w:t>
      </w:r>
      <w:r w:rsidR="00BA4364" w:rsidRPr="00026951">
        <w:t xml:space="preserve">The University of British Columbia (UBC) currently has over 44,000 students; the idea is to increase the general entrepreneurial mindset at the UBC’s campus in order to use all of its </w:t>
      </w:r>
      <w:r w:rsidR="000C7805" w:rsidRPr="00026951">
        <w:t>human capital</w:t>
      </w:r>
      <w:r w:rsidR="00971CF7" w:rsidRPr="00026951">
        <w:t xml:space="preserve"> </w:t>
      </w:r>
      <w:r w:rsidR="00BA4364" w:rsidRPr="00026951">
        <w:t xml:space="preserve">in order to create successful opportunities to students from within. Since 2010, UBC has had 62 successful spin-off companies created and successfully developed. Most of the companies were created due to a scientific research that sought an innovative method to deal with scientific problems. </w:t>
      </w:r>
      <w:r w:rsidR="000C7805" w:rsidRPr="00026951">
        <w:t>It is important to note that Harvard has been associated with the creations of companies like; Facebook, Airbnb, Fitbit, TripAdvisor, Staples and many more. With twice the number of students, UBC can definitely challenge the strongest universities in the world</w:t>
      </w:r>
    </w:p>
    <w:p w:rsidR="00AA167D" w:rsidRPr="00026951" w:rsidRDefault="00B44E45" w:rsidP="00BC7148">
      <w:pPr>
        <w:spacing w:line="480" w:lineRule="auto"/>
        <w:ind w:firstLine="720"/>
        <w:rPr>
          <w:rFonts w:asciiTheme="minorHAnsi" w:hAnsiTheme="minorHAnsi" w:cstheme="minorBidi"/>
        </w:rPr>
      </w:pPr>
      <w:r w:rsidRPr="00026951">
        <w:t>With such a large population of students</w:t>
      </w:r>
      <w:r w:rsidR="003D504D" w:rsidRPr="00026951">
        <w:t>,</w:t>
      </w:r>
      <w:r w:rsidRPr="00026951">
        <w:t xml:space="preserve"> UBC </w:t>
      </w:r>
      <w:r w:rsidR="003D504D" w:rsidRPr="00026951">
        <w:t>should nurture</w:t>
      </w:r>
      <w:r w:rsidRPr="00026951">
        <w:t xml:space="preserve"> students to </w:t>
      </w:r>
      <w:r w:rsidR="003D504D" w:rsidRPr="00026951">
        <w:t>think bigger</w:t>
      </w:r>
      <w:r w:rsidRPr="00026951">
        <w:t xml:space="preserve">. </w:t>
      </w:r>
      <w:proofErr w:type="spellStart"/>
      <w:r w:rsidR="00C612F3" w:rsidRPr="00026951">
        <w:t>EHub</w:t>
      </w:r>
      <w:proofErr w:type="spellEnd"/>
      <w:r w:rsidR="00C612F3" w:rsidRPr="00026951">
        <w:t xml:space="preserve"> can impact </w:t>
      </w:r>
      <w:r w:rsidR="00374290" w:rsidRPr="00026951">
        <w:t>th</w:t>
      </w:r>
      <w:r w:rsidR="009419CA" w:rsidRPr="00026951">
        <w:t xml:space="preserve">ese students in a positive way by </w:t>
      </w:r>
      <w:r w:rsidR="00374290" w:rsidRPr="00026951">
        <w:t>develop</w:t>
      </w:r>
      <w:r w:rsidR="009419CA" w:rsidRPr="00026951">
        <w:t>ing ideas, generating</w:t>
      </w:r>
      <w:r w:rsidR="00374290" w:rsidRPr="00026951">
        <w:t xml:space="preserve"> engagement and overall help</w:t>
      </w:r>
      <w:r w:rsidR="009419CA" w:rsidRPr="00026951">
        <w:t>ing</w:t>
      </w:r>
      <w:r w:rsidR="00374290" w:rsidRPr="00026951">
        <w:t xml:space="preserve"> stud</w:t>
      </w:r>
      <w:r w:rsidR="009419CA" w:rsidRPr="00026951">
        <w:t>ents</w:t>
      </w:r>
      <w:r w:rsidR="00C612F3" w:rsidRPr="00026951">
        <w:t xml:space="preserve"> bring ideas to life</w:t>
      </w:r>
      <w:r w:rsidR="009419CA" w:rsidRPr="00026951">
        <w:t>. However, there needs to be a greater integration of these programs into the stu</w:t>
      </w:r>
      <w:r w:rsidR="00C612F3" w:rsidRPr="00026951">
        <w:t>dent life because there is</w:t>
      </w:r>
      <w:r w:rsidR="009419CA" w:rsidRPr="00026951">
        <w:t xml:space="preserve"> a</w:t>
      </w:r>
      <w:r w:rsidR="00374290" w:rsidRPr="00026951">
        <w:t xml:space="preserve"> lack of communication between students and organizers of such events and</w:t>
      </w:r>
      <w:r w:rsidR="00374290" w:rsidRPr="00971CF7">
        <w:t xml:space="preserve"> </w:t>
      </w:r>
      <w:r w:rsidR="00C612F3" w:rsidRPr="00971CF7">
        <w:t xml:space="preserve">specific </w:t>
      </w:r>
      <w:r w:rsidR="00374290" w:rsidRPr="00971CF7">
        <w:t xml:space="preserve">clubs. </w:t>
      </w:r>
      <w:r w:rsidR="009419CA" w:rsidRPr="00971CF7">
        <w:t>T</w:t>
      </w:r>
      <w:r w:rsidR="00374290" w:rsidRPr="00971CF7">
        <w:t xml:space="preserve">herefore, </w:t>
      </w:r>
      <w:r w:rsidR="000C7805">
        <w:t xml:space="preserve">involving </w:t>
      </w:r>
      <w:r w:rsidR="00374290" w:rsidRPr="00971CF7">
        <w:t xml:space="preserve">students directly and following up with </w:t>
      </w:r>
      <w:r w:rsidR="000C7805">
        <w:t xml:space="preserve">their progress </w:t>
      </w:r>
      <w:r w:rsidR="009419CA" w:rsidRPr="00971CF7">
        <w:t>would be beneficia</w:t>
      </w:r>
      <w:r w:rsidR="000C7805">
        <w:t>l to the integration of faculties</w:t>
      </w:r>
      <w:r w:rsidR="00374290" w:rsidRPr="00971CF7">
        <w:t>.</w:t>
      </w:r>
      <w:r w:rsidR="00026951">
        <w:t xml:space="preserve"> </w:t>
      </w:r>
      <w:r w:rsidR="006F6166" w:rsidRPr="00971CF7">
        <w:t xml:space="preserve">In order to increase </w:t>
      </w:r>
      <w:r w:rsidR="0090586A" w:rsidRPr="00971CF7">
        <w:t>engagement,</w:t>
      </w:r>
      <w:r w:rsidR="006F6166" w:rsidRPr="00971CF7">
        <w:t xml:space="preserve"> </w:t>
      </w:r>
      <w:proofErr w:type="spellStart"/>
      <w:r w:rsidR="00C612F3" w:rsidRPr="00971CF7">
        <w:t>EHub</w:t>
      </w:r>
      <w:proofErr w:type="spellEnd"/>
      <w:r w:rsidR="006F6166" w:rsidRPr="00971CF7">
        <w:t xml:space="preserve"> needs to increase its marketing campaign. Being a new organization on campus there is a </w:t>
      </w:r>
      <w:r w:rsidR="009419CA" w:rsidRPr="00971CF7">
        <w:t xml:space="preserve">lack </w:t>
      </w:r>
      <w:r w:rsidR="006F6166" w:rsidRPr="00971CF7">
        <w:t xml:space="preserve">in terms of </w:t>
      </w:r>
      <w:r w:rsidR="004E017B">
        <w:t xml:space="preserve">the </w:t>
      </w:r>
      <w:r w:rsidR="006F6166" w:rsidRPr="00971CF7">
        <w:t xml:space="preserve">visual and written communication to students. </w:t>
      </w:r>
    </w:p>
    <w:p w:rsidR="00026951" w:rsidRDefault="00026951" w:rsidP="00BC7148">
      <w:pPr>
        <w:spacing w:line="480" w:lineRule="auto"/>
        <w:ind w:firstLine="720"/>
      </w:pPr>
      <w:r w:rsidRPr="00026951">
        <w:lastRenderedPageBreak/>
        <w:t xml:space="preserve">To help solidify </w:t>
      </w:r>
      <w:proofErr w:type="spellStart"/>
      <w:r w:rsidRPr="00026951">
        <w:t>Ehub’s</w:t>
      </w:r>
      <w:proofErr w:type="spellEnd"/>
      <w:r w:rsidRPr="00026951">
        <w:t xml:space="preserve"> presence on campus, this report analyzes information gathered from students and </w:t>
      </w:r>
      <w:proofErr w:type="spellStart"/>
      <w:r w:rsidRPr="00026951">
        <w:t>EHub’s</w:t>
      </w:r>
      <w:proofErr w:type="spellEnd"/>
      <w:r w:rsidRPr="00026951">
        <w:t xml:space="preserve"> administrative team. The analysis examines numbers collected at </w:t>
      </w:r>
      <w:proofErr w:type="spellStart"/>
      <w:r w:rsidRPr="00026951">
        <w:t>EHub’s</w:t>
      </w:r>
      <w:proofErr w:type="spellEnd"/>
      <w:r w:rsidRPr="00026951">
        <w:t xml:space="preserve"> most powerful tool, the RBC Get Seeded program. Secondly it will draw an overview of what students think about the program, through a survey analysis. These will allow the report to evaluate how valuable students feel the </w:t>
      </w:r>
      <w:proofErr w:type="spellStart"/>
      <w:r w:rsidRPr="00026951">
        <w:t>EHub</w:t>
      </w:r>
      <w:proofErr w:type="spellEnd"/>
      <w:r w:rsidRPr="00026951">
        <w:t xml:space="preserve"> opportunity is to campus and their aspiring professional lives. </w:t>
      </w:r>
    </w:p>
    <w:p w:rsidR="00971CF7" w:rsidRPr="00971CF7" w:rsidRDefault="007777A6" w:rsidP="006336E3">
      <w:pPr>
        <w:spacing w:line="480" w:lineRule="auto"/>
        <w:ind w:firstLine="720"/>
      </w:pPr>
      <w:r w:rsidRPr="007777A6">
        <w:t xml:space="preserve">The report concludes by acknowledging current efforts made by </w:t>
      </w:r>
      <w:proofErr w:type="spellStart"/>
      <w:r w:rsidRPr="007777A6">
        <w:t>EHub</w:t>
      </w:r>
      <w:proofErr w:type="spellEnd"/>
      <w:r w:rsidRPr="007777A6">
        <w:t xml:space="preserve"> inside the UBC community and by recommending immediate and inexpensive ideas that will increase its overall reach on campus.</w:t>
      </w:r>
    </w:p>
    <w:p w:rsidR="00AA167D" w:rsidRDefault="00AA167D" w:rsidP="00BC7148">
      <w:pPr>
        <w:spacing w:line="480" w:lineRule="auto"/>
        <w:rPr>
          <w:b/>
        </w:rPr>
      </w:pPr>
      <w:r w:rsidRPr="00026951">
        <w:rPr>
          <w:b/>
        </w:rPr>
        <w:t>At last, I will research on how other universities have used similar companies in order to enhance the entrepreneurial feel on campus. I want to be able to analyze how long it took for student engagement to increase and what potential ideas panned out.</w:t>
      </w:r>
    </w:p>
    <w:p w:rsidR="007777A6" w:rsidRPr="00971CF7" w:rsidRDefault="007777A6" w:rsidP="00BC7148">
      <w:pPr>
        <w:pStyle w:val="NoSpacing"/>
        <w:spacing w:line="480" w:lineRule="auto"/>
        <w:rPr>
          <w:rFonts w:ascii="Times New Roman" w:eastAsia="Times New Roman" w:hAnsi="Times New Roman" w:cs="Times New Roman"/>
          <w:b/>
          <w:bCs/>
          <w:color w:val="222222"/>
          <w:bdr w:val="none" w:sz="0" w:space="0" w:color="auto" w:frame="1"/>
        </w:rPr>
      </w:pPr>
    </w:p>
    <w:p w:rsidR="007777A6" w:rsidRPr="000D65CF" w:rsidRDefault="007777A6" w:rsidP="00BC7148">
      <w:pPr>
        <w:spacing w:line="480" w:lineRule="auto"/>
        <w:jc w:val="center"/>
        <w:rPr>
          <w:b/>
          <w:color w:val="222222"/>
        </w:rPr>
      </w:pPr>
      <w:r w:rsidRPr="000D65CF">
        <w:rPr>
          <w:b/>
          <w:color w:val="222222"/>
        </w:rPr>
        <w:t>Data Section</w:t>
      </w:r>
    </w:p>
    <w:p w:rsidR="007777A6" w:rsidRDefault="007777A6" w:rsidP="00BC7148">
      <w:pPr>
        <w:spacing w:line="480" w:lineRule="auto"/>
        <w:rPr>
          <w:b/>
          <w:color w:val="222222"/>
        </w:rPr>
      </w:pPr>
    </w:p>
    <w:p w:rsidR="0065072A" w:rsidRDefault="007777A6" w:rsidP="00BC7148">
      <w:pPr>
        <w:spacing w:line="480" w:lineRule="auto"/>
        <w:rPr>
          <w:b/>
          <w:color w:val="222222"/>
        </w:rPr>
      </w:pPr>
      <w:r>
        <w:rPr>
          <w:b/>
          <w:color w:val="222222"/>
        </w:rPr>
        <w:t>Survey Analysis:</w:t>
      </w:r>
    </w:p>
    <w:p w:rsidR="0065072A" w:rsidRDefault="00D721F4" w:rsidP="00BC7148">
      <w:pPr>
        <w:spacing w:line="480" w:lineRule="auto"/>
        <w:rPr>
          <w:color w:val="222222"/>
        </w:rPr>
      </w:pPr>
      <w:r w:rsidRPr="00B0446E">
        <w:t>The following data section will lay out the results of the conducted survey</w:t>
      </w:r>
      <w:r>
        <w:rPr>
          <w:i/>
          <w:color w:val="222222"/>
        </w:rPr>
        <w:t xml:space="preserve">. </w:t>
      </w:r>
      <w:r w:rsidR="0065072A" w:rsidRPr="0054654A">
        <w:rPr>
          <w:i/>
          <w:color w:val="222222"/>
        </w:rPr>
        <w:t>Graph 1</w:t>
      </w:r>
      <w:r w:rsidR="0065072A" w:rsidRPr="00782CB1">
        <w:rPr>
          <w:color w:val="222222"/>
        </w:rPr>
        <w:t xml:space="preserve"> shows the breakdown of students by faculties that participated in the analysis. As we can see Sauder and Engineering hold a higher number of students with interest in </w:t>
      </w:r>
      <w:proofErr w:type="spellStart"/>
      <w:r w:rsidR="0065072A" w:rsidRPr="00782CB1">
        <w:rPr>
          <w:color w:val="222222"/>
        </w:rPr>
        <w:t>EHub</w:t>
      </w:r>
      <w:proofErr w:type="spellEnd"/>
      <w:r w:rsidR="0065072A" w:rsidRPr="00782CB1">
        <w:rPr>
          <w:color w:val="222222"/>
        </w:rPr>
        <w:t>, with Sciences and Arts following accordingly. The number of participants can also be related to faculties with a more analytical view as Engineering and Com</w:t>
      </w:r>
      <w:r w:rsidR="00BB56F9" w:rsidRPr="00782CB1">
        <w:rPr>
          <w:color w:val="222222"/>
        </w:rPr>
        <w:t xml:space="preserve">merce over students with a social sciences and humanities </w:t>
      </w:r>
      <w:r w:rsidR="0065072A" w:rsidRPr="00782CB1">
        <w:rPr>
          <w:color w:val="222222"/>
        </w:rPr>
        <w:t>view.</w:t>
      </w:r>
      <w:r w:rsidR="00BB56F9" w:rsidRPr="00782CB1">
        <w:rPr>
          <w:color w:val="222222"/>
        </w:rPr>
        <w:t xml:space="preserve"> Out of the 95 surveyed students 79 knew about </w:t>
      </w:r>
      <w:proofErr w:type="spellStart"/>
      <w:r w:rsidR="00BB56F9" w:rsidRPr="00782CB1">
        <w:rPr>
          <w:color w:val="222222"/>
        </w:rPr>
        <w:t>EHub</w:t>
      </w:r>
      <w:proofErr w:type="spellEnd"/>
      <w:r w:rsidR="00BB56F9" w:rsidRPr="00782CB1">
        <w:rPr>
          <w:color w:val="222222"/>
        </w:rPr>
        <w:t xml:space="preserve">, while 93 responded that they have shown interest in brainstorming a business idea. This is important because it shows </w:t>
      </w:r>
      <w:r w:rsidR="00BB56F9" w:rsidRPr="00782CB1">
        <w:rPr>
          <w:color w:val="222222"/>
        </w:rPr>
        <w:lastRenderedPageBreak/>
        <w:t xml:space="preserve">how diverse </w:t>
      </w:r>
      <w:proofErr w:type="spellStart"/>
      <w:r w:rsidR="00BB56F9" w:rsidRPr="00782CB1">
        <w:rPr>
          <w:color w:val="222222"/>
        </w:rPr>
        <w:t>EHub’s</w:t>
      </w:r>
      <w:proofErr w:type="spellEnd"/>
      <w:r w:rsidR="00BB56F9" w:rsidRPr="00782CB1">
        <w:rPr>
          <w:color w:val="222222"/>
        </w:rPr>
        <w:t xml:space="preserve"> population is, however the sample collected was too small to represent the entire UBC community.</w:t>
      </w:r>
    </w:p>
    <w:p w:rsidR="0054654A" w:rsidRDefault="0054654A" w:rsidP="007777A6">
      <w:pPr>
        <w:rPr>
          <w:color w:val="222222"/>
        </w:rPr>
      </w:pPr>
    </w:p>
    <w:p w:rsidR="0054654A" w:rsidRPr="00782CB1" w:rsidRDefault="0054654A" w:rsidP="007777A6">
      <w:pPr>
        <w:rPr>
          <w:color w:val="222222"/>
        </w:rPr>
      </w:pPr>
      <w:r>
        <w:rPr>
          <w:noProof/>
          <w:color w:val="222222"/>
        </w:rPr>
        <w:drawing>
          <wp:inline distT="0" distB="0" distL="0" distR="0">
            <wp:extent cx="5486400" cy="3200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777A6" w:rsidRDefault="007777A6" w:rsidP="007777A6">
      <w:pPr>
        <w:rPr>
          <w:b/>
          <w:color w:val="222222"/>
        </w:rPr>
      </w:pPr>
    </w:p>
    <w:p w:rsidR="00BB56F9" w:rsidRDefault="00782CB1" w:rsidP="00BC7148">
      <w:pPr>
        <w:spacing w:line="480" w:lineRule="auto"/>
        <w:rPr>
          <w:b/>
          <w:color w:val="222222"/>
        </w:rPr>
      </w:pPr>
      <w:r>
        <w:rPr>
          <w:b/>
          <w:color w:val="222222"/>
        </w:rPr>
        <w:t xml:space="preserve">RBC Get Seeded; </w:t>
      </w:r>
      <w:r w:rsidR="007777A6">
        <w:rPr>
          <w:b/>
          <w:color w:val="222222"/>
        </w:rPr>
        <w:t>Faculty Involvement:</w:t>
      </w:r>
    </w:p>
    <w:p w:rsidR="00782CB1" w:rsidRPr="00782CB1" w:rsidRDefault="00782CB1" w:rsidP="00BC7148">
      <w:pPr>
        <w:spacing w:line="480" w:lineRule="auto"/>
        <w:rPr>
          <w:b/>
          <w:color w:val="222222"/>
        </w:rPr>
      </w:pPr>
    </w:p>
    <w:p w:rsidR="00BB56F9" w:rsidRDefault="00BB56F9" w:rsidP="00BC7148">
      <w:pPr>
        <w:spacing w:line="480" w:lineRule="auto"/>
        <w:ind w:firstLine="720"/>
      </w:pPr>
      <w:r>
        <w:t>On March 19</w:t>
      </w:r>
      <w:r w:rsidRPr="00BB56F9">
        <w:rPr>
          <w:vertAlign w:val="superscript"/>
        </w:rPr>
        <w:t>th</w:t>
      </w:r>
      <w:r>
        <w:t xml:space="preserve"> </w:t>
      </w:r>
      <w:proofErr w:type="spellStart"/>
      <w:r>
        <w:t>EHub</w:t>
      </w:r>
      <w:proofErr w:type="spellEnd"/>
      <w:r>
        <w:t xml:space="preserve"> held their first event in 2018, called, RBC Get Seeded. The event aimed</w:t>
      </w:r>
      <w:r>
        <w:t xml:space="preserve"> to develop student’s potential business ideas and fund their projects moving forward. </w:t>
      </w:r>
      <w:r>
        <w:t xml:space="preserve">One hundred and seventy people signed up to participate. The breakdown of students </w:t>
      </w:r>
      <w:r w:rsidR="009D54AE">
        <w:t xml:space="preserve">shows a similar correlation to </w:t>
      </w:r>
      <w:r w:rsidR="009D54AE" w:rsidRPr="009D54AE">
        <w:rPr>
          <w:i/>
        </w:rPr>
        <w:t>G</w:t>
      </w:r>
      <w:r w:rsidRPr="009D54AE">
        <w:rPr>
          <w:i/>
        </w:rPr>
        <w:t>raph 1</w:t>
      </w:r>
      <w:r>
        <w:t xml:space="preserve">. </w:t>
      </w:r>
      <w:r w:rsidR="0054654A">
        <w:t xml:space="preserve">As seen on </w:t>
      </w:r>
      <w:r w:rsidR="0054654A">
        <w:rPr>
          <w:i/>
        </w:rPr>
        <w:t xml:space="preserve">Graph 2, </w:t>
      </w:r>
      <w:r>
        <w:t xml:space="preserve">Sauder and Engineering led the number of participants again with 48 and 41, totaling 52% of the </w:t>
      </w:r>
      <w:r w:rsidR="00782CB1">
        <w:t>number</w:t>
      </w:r>
      <w:r>
        <w:t xml:space="preserve"> of student</w:t>
      </w:r>
      <w:r w:rsidR="009D54AE">
        <w:t>s who signed up to participate, including pitchers and audience.</w:t>
      </w:r>
    </w:p>
    <w:p w:rsidR="00782CB1" w:rsidRDefault="00782CB1" w:rsidP="00BC7148">
      <w:pPr>
        <w:spacing w:line="480" w:lineRule="auto"/>
        <w:ind w:firstLine="720"/>
      </w:pPr>
    </w:p>
    <w:p w:rsidR="00AA35C6" w:rsidRDefault="00782CB1" w:rsidP="00782CB1">
      <w:pPr>
        <w:jc w:val="center"/>
      </w:pPr>
      <w:r>
        <w:rPr>
          <w:noProof/>
        </w:rPr>
        <w:lastRenderedPageBreak/>
        <w:drawing>
          <wp:inline distT="0" distB="0" distL="0" distR="0" wp14:anchorId="6296FA1C" wp14:editId="5505E1C2">
            <wp:extent cx="5486400" cy="3200400"/>
            <wp:effectExtent l="0" t="0" r="12700" b="1270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1EAB" w:rsidRDefault="00291EAB" w:rsidP="00291EAB"/>
    <w:p w:rsidR="009D54AE" w:rsidRDefault="009D54AE" w:rsidP="00291EAB"/>
    <w:p w:rsidR="009D54AE" w:rsidRDefault="009D54AE" w:rsidP="00BC7148">
      <w:pPr>
        <w:spacing w:line="480" w:lineRule="auto"/>
      </w:pPr>
      <w:r>
        <w:t xml:space="preserve">However, on the day of the actual event only 130 people showed up to participate. Graph 3 shows the overall faculty involvement in relation to participation during the actual event. As we can see Sauder and Engineering lead the number of students involved once again, with 31% and 25% respectively. </w:t>
      </w:r>
    </w:p>
    <w:p w:rsidR="003D4BAF" w:rsidRDefault="003D4BAF" w:rsidP="00291EAB"/>
    <w:p w:rsidR="003D4BAF" w:rsidRDefault="009D54AE" w:rsidP="00291EAB">
      <w:r>
        <w:rPr>
          <w:noProof/>
        </w:rPr>
        <w:lastRenderedPageBreak/>
        <w:drawing>
          <wp:inline distT="0" distB="0" distL="0" distR="0">
            <wp:extent cx="5486400" cy="3200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1EAB" w:rsidRPr="00291EAB" w:rsidRDefault="00291EAB" w:rsidP="00291EAB"/>
    <w:p w:rsidR="00291EAB" w:rsidRDefault="00291EAB" w:rsidP="007777A6">
      <w:pPr>
        <w:rPr>
          <w:b/>
          <w:color w:val="222222"/>
        </w:rPr>
      </w:pPr>
    </w:p>
    <w:p w:rsidR="00BC7148" w:rsidRDefault="00AA35C6" w:rsidP="00BC7148">
      <w:pPr>
        <w:spacing w:line="480" w:lineRule="auto"/>
        <w:rPr>
          <w:b/>
          <w:color w:val="222222"/>
        </w:rPr>
      </w:pPr>
      <w:r>
        <w:rPr>
          <w:b/>
          <w:color w:val="222222"/>
        </w:rPr>
        <w:t>Marketing Campaign</w:t>
      </w:r>
      <w:r w:rsidR="007777A6">
        <w:rPr>
          <w:b/>
          <w:color w:val="222222"/>
        </w:rPr>
        <w:t>:</w:t>
      </w:r>
    </w:p>
    <w:p w:rsidR="00BC7148" w:rsidRPr="00BC7148" w:rsidRDefault="00D721F4" w:rsidP="00BC7148">
      <w:pPr>
        <w:spacing w:line="480" w:lineRule="auto"/>
      </w:pPr>
      <w:r>
        <w:rPr>
          <w:color w:val="222222"/>
        </w:rPr>
        <w:t xml:space="preserve">Marketing is the basis for any organization that aims into attracting people. </w:t>
      </w:r>
      <w:proofErr w:type="spellStart"/>
      <w:r>
        <w:rPr>
          <w:color w:val="222222"/>
        </w:rPr>
        <w:t>EHub</w:t>
      </w:r>
      <w:proofErr w:type="spellEnd"/>
      <w:r>
        <w:rPr>
          <w:color w:val="222222"/>
        </w:rPr>
        <w:t xml:space="preserve"> nevertheless relies on marketing to fulfill its total campus outreach. However, </w:t>
      </w:r>
      <w:proofErr w:type="spellStart"/>
      <w:r>
        <w:rPr>
          <w:color w:val="222222"/>
        </w:rPr>
        <w:t>EHub</w:t>
      </w:r>
      <w:proofErr w:type="spellEnd"/>
      <w:r>
        <w:rPr>
          <w:color w:val="222222"/>
        </w:rPr>
        <w:t xml:space="preserve"> has n</w:t>
      </w:r>
      <w:r w:rsidR="000D65CF">
        <w:rPr>
          <w:color w:val="222222"/>
        </w:rPr>
        <w:t xml:space="preserve">ot been efficient when </w:t>
      </w:r>
      <w:r>
        <w:rPr>
          <w:color w:val="222222"/>
        </w:rPr>
        <w:t xml:space="preserve">marketing </w:t>
      </w:r>
      <w:r w:rsidR="000D65CF">
        <w:rPr>
          <w:color w:val="222222"/>
        </w:rPr>
        <w:t>its</w:t>
      </w:r>
      <w:r>
        <w:rPr>
          <w:color w:val="222222"/>
        </w:rPr>
        <w:t xml:space="preserve"> own event</w:t>
      </w:r>
      <w:r w:rsidR="000D65CF">
        <w:rPr>
          <w:color w:val="222222"/>
        </w:rPr>
        <w:t>s</w:t>
      </w:r>
      <w:r>
        <w:rPr>
          <w:color w:val="222222"/>
        </w:rPr>
        <w:t xml:space="preserve">. According to </w:t>
      </w:r>
      <w:proofErr w:type="spellStart"/>
      <w:r>
        <w:rPr>
          <w:color w:val="222222"/>
        </w:rPr>
        <w:t>EHub’s</w:t>
      </w:r>
      <w:proofErr w:type="spellEnd"/>
      <w:r>
        <w:rPr>
          <w:color w:val="222222"/>
        </w:rPr>
        <w:t xml:space="preserve"> president</w:t>
      </w:r>
      <w:r w:rsidR="000D65CF">
        <w:rPr>
          <w:color w:val="222222"/>
        </w:rPr>
        <w:t xml:space="preserve"> there was a lack of marketing, “</w:t>
      </w:r>
      <w:r w:rsidR="000D65CF" w:rsidRPr="000D65CF">
        <w:t>a</w:t>
      </w:r>
      <w:r w:rsidR="00291EAB" w:rsidRPr="000D65CF">
        <w:t>part from Facebook, we got a lot of people because the pitchers encouraged their friends to come since more friends</w:t>
      </w:r>
      <w:r w:rsidR="000D65CF">
        <w:t>.</w:t>
      </w:r>
      <w:r w:rsidR="000D65CF" w:rsidRPr="000D65CF">
        <w:t>”</w:t>
      </w:r>
      <w:r w:rsidR="00291EAB" w:rsidRPr="000D65CF">
        <w:t xml:space="preserve"> </w:t>
      </w:r>
      <w:r w:rsidR="000D65CF">
        <w:t xml:space="preserve">This shows how little the event was marketed to the general UBC population. A more diversified campaign with flyers around campus, in class talks and booths around campus would have increased visibility and overall turnout. People attending the event were not necessarily there for their interest in entrepreneurship, some attended only to support friends that were pitching ideas to the bank. There are 8 ideas for a </w:t>
      </w:r>
      <w:r w:rsidR="00FA0FC5">
        <w:t>successful</w:t>
      </w:r>
      <w:r w:rsidR="000D65CF">
        <w:t xml:space="preserve"> college marketing campaign and they involve targeting, highlighting the competitive advantage of the offered product, establishing an image and diversifying. Above all, for a successful marketing campaign, money needs to be spent. </w:t>
      </w:r>
    </w:p>
    <w:p w:rsidR="00BC7148" w:rsidRPr="00971CF7" w:rsidRDefault="007E6A82" w:rsidP="00BC7148">
      <w:pPr>
        <w:spacing w:line="480" w:lineRule="auto"/>
        <w:jc w:val="center"/>
        <w:rPr>
          <w:b/>
        </w:rPr>
      </w:pPr>
      <w:r w:rsidRPr="00971CF7">
        <w:rPr>
          <w:b/>
        </w:rPr>
        <w:lastRenderedPageBreak/>
        <w:t>Conclusion</w:t>
      </w:r>
    </w:p>
    <w:p w:rsidR="00BC7148" w:rsidRDefault="00BC7148" w:rsidP="00BC7148">
      <w:pPr>
        <w:spacing w:line="480" w:lineRule="auto"/>
        <w:rPr>
          <w:b/>
        </w:rPr>
      </w:pPr>
    </w:p>
    <w:p w:rsidR="000D65CF" w:rsidRDefault="000D65CF" w:rsidP="00BC7148">
      <w:pPr>
        <w:spacing w:line="480" w:lineRule="auto"/>
        <w:rPr>
          <w:b/>
        </w:rPr>
      </w:pPr>
      <w:r w:rsidRPr="000D65CF">
        <w:rPr>
          <w:b/>
        </w:rPr>
        <w:t>Summary of Findings:</w:t>
      </w:r>
    </w:p>
    <w:p w:rsidR="000D65CF" w:rsidRDefault="000D65CF" w:rsidP="00BC7148">
      <w:pPr>
        <w:spacing w:line="480" w:lineRule="auto"/>
      </w:pPr>
      <w:r>
        <w:t xml:space="preserve">According to </w:t>
      </w:r>
      <w:proofErr w:type="spellStart"/>
      <w:r>
        <w:t>EHub’s</w:t>
      </w:r>
      <w:proofErr w:type="spellEnd"/>
      <w:r>
        <w:t xml:space="preserve"> president, “</w:t>
      </w:r>
      <w:r w:rsidRPr="000D65CF">
        <w:t>Apart from logistical errors, I think we could certainly do better in terms of getting more women to pitch as well as participate.</w:t>
      </w:r>
      <w:r>
        <w:t>”</w:t>
      </w:r>
      <w:r w:rsidRPr="000D65CF">
        <w:t xml:space="preserve"> </w:t>
      </w:r>
      <w:r>
        <w:t>Therefore, not only was the faculty involvement uneven as was the gender difference.</w:t>
      </w:r>
      <w:r w:rsidR="00BC7148">
        <w:t xml:space="preserve"> </w:t>
      </w:r>
      <w:proofErr w:type="spellStart"/>
      <w:r w:rsidR="00BC7148">
        <w:t>EHub</w:t>
      </w:r>
      <w:proofErr w:type="spellEnd"/>
      <w:r w:rsidR="00BC7148">
        <w:t xml:space="preserve">, does not feel like an expansion in marketing </w:t>
      </w:r>
      <w:r w:rsidR="00FA0FC5">
        <w:t xml:space="preserve">to </w:t>
      </w:r>
      <w:r w:rsidR="00BC7148">
        <w:t xml:space="preserve">attract more attendees is needed, however they want to diversify </w:t>
      </w:r>
      <w:r w:rsidR="00FA0FC5">
        <w:t xml:space="preserve">overall gender attendance. According to the posted survey a lot more people are interested in </w:t>
      </w:r>
      <w:proofErr w:type="spellStart"/>
      <w:r w:rsidR="00FA0FC5">
        <w:t>EHub</w:t>
      </w:r>
      <w:proofErr w:type="spellEnd"/>
      <w:r w:rsidR="00FA0FC5">
        <w:t xml:space="preserve"> than it appears like in the organized events. The faculty trends also differ slightly, Engineering and Commerce students tend to have a slightly larger interest in Entrepreneurship than other faculties. Some faculties that responded the poll, however, did not show presence in </w:t>
      </w:r>
      <w:proofErr w:type="spellStart"/>
      <w:r w:rsidR="00FA0FC5">
        <w:t>EHub’s</w:t>
      </w:r>
      <w:proofErr w:type="spellEnd"/>
      <w:r w:rsidR="00FA0FC5">
        <w:t xml:space="preserve"> last event.</w:t>
      </w:r>
    </w:p>
    <w:p w:rsidR="00BC7148" w:rsidRPr="00BC7148" w:rsidRDefault="00BC7148" w:rsidP="00BC7148">
      <w:pPr>
        <w:spacing w:line="480" w:lineRule="auto"/>
      </w:pPr>
    </w:p>
    <w:p w:rsidR="000D65CF" w:rsidRPr="000D65CF" w:rsidRDefault="000D65CF" w:rsidP="00BC7148">
      <w:pPr>
        <w:spacing w:line="480" w:lineRule="auto"/>
        <w:rPr>
          <w:b/>
        </w:rPr>
      </w:pPr>
      <w:r>
        <w:rPr>
          <w:b/>
        </w:rPr>
        <w:t>Recommendations:</w:t>
      </w:r>
    </w:p>
    <w:p w:rsidR="00971CF7" w:rsidRPr="000C7805" w:rsidRDefault="007E6A82" w:rsidP="00BC7148">
      <w:pPr>
        <w:spacing w:line="480" w:lineRule="auto"/>
      </w:pPr>
      <w:r w:rsidRPr="00971CF7">
        <w:t xml:space="preserve">As a newly formed Hub by the AMS, the Entrepreneurship Hub has </w:t>
      </w:r>
      <w:r w:rsidR="004141B5" w:rsidRPr="00971CF7">
        <w:t xml:space="preserve">a </w:t>
      </w:r>
      <w:r w:rsidRPr="00971CF7">
        <w:t>potential to reach out to students and change the general campus mindset. By having</w:t>
      </w:r>
      <w:r w:rsidR="00C612F3" w:rsidRPr="00971CF7">
        <w:t xml:space="preserve"> a larger approach to students,</w:t>
      </w:r>
      <w:r w:rsidR="004141B5" w:rsidRPr="00971CF7">
        <w:t xml:space="preserve"> </w:t>
      </w:r>
      <w:proofErr w:type="spellStart"/>
      <w:r w:rsidR="004141B5" w:rsidRPr="00971CF7">
        <w:t>Ehub</w:t>
      </w:r>
      <w:proofErr w:type="spellEnd"/>
      <w:r w:rsidR="004141B5" w:rsidRPr="00971CF7">
        <w:t xml:space="preserve"> will be</w:t>
      </w:r>
      <w:r w:rsidRPr="00971CF7">
        <w:t xml:space="preserve"> able to monitor ideas and help develop </w:t>
      </w:r>
      <w:r w:rsidR="004141B5" w:rsidRPr="00971CF7">
        <w:t xml:space="preserve">them </w:t>
      </w:r>
      <w:r w:rsidRPr="00971CF7">
        <w:t>into solid entrepreneur opportunities. By creating a bond between students from different faculties the Hub strives to put together students from different fields who share the same interest. The UBC campus has the human capital</w:t>
      </w:r>
      <w:r w:rsidR="004141B5" w:rsidRPr="00971CF7">
        <w:t xml:space="preserve"> and the potential</w:t>
      </w:r>
      <w:r w:rsidRPr="00971CF7">
        <w:t xml:space="preserve"> to</w:t>
      </w:r>
      <w:r w:rsidR="004141B5" w:rsidRPr="00971CF7">
        <w:t xml:space="preserve"> be a great entrepreneur campus; however, </w:t>
      </w:r>
      <w:r w:rsidRPr="00971CF7">
        <w:t xml:space="preserve">it will only depend on how effective the Hub can be to these students. </w:t>
      </w:r>
    </w:p>
    <w:p w:rsidR="000D65CF" w:rsidRDefault="000D65CF" w:rsidP="004E017B">
      <w:pPr>
        <w:rPr>
          <w:b/>
        </w:rPr>
      </w:pPr>
    </w:p>
    <w:p w:rsidR="004E017B" w:rsidRDefault="004E017B" w:rsidP="004E017B"/>
    <w:p w:rsidR="00971CF7" w:rsidRDefault="00971CF7" w:rsidP="00A448CF">
      <w:pPr>
        <w:jc w:val="center"/>
      </w:pPr>
    </w:p>
    <w:p w:rsidR="006336E3" w:rsidRDefault="006336E3" w:rsidP="00A448CF">
      <w:pPr>
        <w:jc w:val="center"/>
      </w:pPr>
    </w:p>
    <w:p w:rsidR="00A448CF" w:rsidRPr="000D65CF" w:rsidRDefault="00A448CF" w:rsidP="00A448CF">
      <w:pPr>
        <w:jc w:val="center"/>
        <w:rPr>
          <w:b/>
        </w:rPr>
      </w:pPr>
      <w:r w:rsidRPr="000D65CF">
        <w:rPr>
          <w:b/>
        </w:rPr>
        <w:lastRenderedPageBreak/>
        <w:t>Works Cited</w:t>
      </w:r>
    </w:p>
    <w:p w:rsidR="00A448CF" w:rsidRPr="00971CF7" w:rsidRDefault="00A448CF" w:rsidP="00A448CF">
      <w:pPr>
        <w:jc w:val="center"/>
        <w:rPr>
          <w:b/>
        </w:rPr>
      </w:pPr>
    </w:p>
    <w:p w:rsidR="00A448CF" w:rsidRPr="00971CF7" w:rsidRDefault="00A448CF" w:rsidP="00A448CF">
      <w:pPr>
        <w:ind w:hanging="600"/>
        <w:rPr>
          <w:color w:val="000000"/>
        </w:rPr>
      </w:pPr>
      <w:r w:rsidRPr="00971CF7">
        <w:rPr>
          <w:color w:val="000000"/>
        </w:rPr>
        <w:t>“AMS Entrepreneurship Hub.” </w:t>
      </w:r>
      <w:r w:rsidRPr="00971CF7">
        <w:rPr>
          <w:i/>
          <w:iCs/>
          <w:color w:val="000000"/>
        </w:rPr>
        <w:t>AMS Entrepreneurship Hub</w:t>
      </w:r>
      <w:r w:rsidRPr="00971CF7">
        <w:rPr>
          <w:color w:val="000000"/>
        </w:rPr>
        <w:t xml:space="preserve">, UBC, </w:t>
      </w:r>
      <w:hyperlink r:id="rId10" w:history="1">
        <w:r w:rsidRPr="00971CF7">
          <w:rPr>
            <w:rStyle w:val="Hyperlink"/>
          </w:rPr>
          <w:t>www.amsehub.ca/</w:t>
        </w:r>
      </w:hyperlink>
      <w:r w:rsidRPr="00971CF7">
        <w:rPr>
          <w:color w:val="000000"/>
        </w:rPr>
        <w:t>. </w:t>
      </w:r>
    </w:p>
    <w:p w:rsidR="00A448CF" w:rsidRPr="00971CF7" w:rsidRDefault="00A448CF" w:rsidP="00A448CF">
      <w:pPr>
        <w:ind w:hanging="600"/>
        <w:rPr>
          <w:color w:val="000000"/>
        </w:rPr>
      </w:pPr>
    </w:p>
    <w:p w:rsidR="00A448CF" w:rsidRPr="00971CF7" w:rsidRDefault="00A448CF" w:rsidP="00A448CF">
      <w:pPr>
        <w:ind w:hanging="600"/>
        <w:rPr>
          <w:color w:val="000000"/>
        </w:rPr>
      </w:pPr>
      <w:r w:rsidRPr="00971CF7">
        <w:rPr>
          <w:color w:val="000000"/>
        </w:rPr>
        <w:t>“List of Companies Founded by Harvard and Radcliffe College Alumni.” </w:t>
      </w:r>
      <w:r w:rsidRPr="00971CF7">
        <w:rPr>
          <w:i/>
          <w:iCs/>
          <w:color w:val="000000"/>
        </w:rPr>
        <w:t>Wikipedia</w:t>
      </w:r>
      <w:r w:rsidRPr="00971CF7">
        <w:rPr>
          <w:color w:val="000000"/>
        </w:rPr>
        <w:t>, Wikimedia Foundation, 27 Jan. 2018, en.wikipedia.org/wiki/List_of_companies_founded_by_Harvard_and_Radcliffe_College_alumn</w:t>
      </w:r>
    </w:p>
    <w:p w:rsidR="00A448CF" w:rsidRPr="00971CF7" w:rsidRDefault="00A448CF" w:rsidP="00A448CF">
      <w:pPr>
        <w:ind w:hanging="600"/>
        <w:rPr>
          <w:color w:val="000000"/>
        </w:rPr>
      </w:pPr>
      <w:r w:rsidRPr="00971CF7">
        <w:rPr>
          <w:color w:val="000000"/>
        </w:rPr>
        <w:t> </w:t>
      </w:r>
    </w:p>
    <w:p w:rsidR="00A448CF" w:rsidRPr="00971CF7" w:rsidRDefault="00A448CF" w:rsidP="00A448CF">
      <w:pPr>
        <w:ind w:hanging="600"/>
        <w:rPr>
          <w:color w:val="000000"/>
        </w:rPr>
      </w:pPr>
      <w:r w:rsidRPr="00971CF7">
        <w:rPr>
          <w:color w:val="000000"/>
        </w:rPr>
        <w:t>Thomson, Andrew. “Top 10 University Spin-Offs.” </w:t>
      </w:r>
      <w:proofErr w:type="spellStart"/>
      <w:r w:rsidRPr="00971CF7">
        <w:rPr>
          <w:i/>
          <w:iCs/>
          <w:color w:val="000000"/>
        </w:rPr>
        <w:t>VentureRadar</w:t>
      </w:r>
      <w:proofErr w:type="spellEnd"/>
      <w:r w:rsidRPr="00971CF7">
        <w:rPr>
          <w:color w:val="000000"/>
        </w:rPr>
        <w:t>, 7 Mar. 2016, blog.ventureradar.com/2015/12/08/the-top-10-u-s-university-spin-offs/. </w:t>
      </w:r>
    </w:p>
    <w:p w:rsidR="00A448CF" w:rsidRPr="00971CF7" w:rsidRDefault="00A448CF" w:rsidP="00A448CF">
      <w:pPr>
        <w:ind w:hanging="600"/>
        <w:rPr>
          <w:color w:val="000000"/>
        </w:rPr>
      </w:pPr>
    </w:p>
    <w:p w:rsidR="002D0CFC" w:rsidRDefault="00A448CF" w:rsidP="00B4400B">
      <w:pPr>
        <w:ind w:hanging="600"/>
        <w:rPr>
          <w:color w:val="000000"/>
        </w:rPr>
      </w:pPr>
      <w:r w:rsidRPr="00971CF7">
        <w:rPr>
          <w:color w:val="000000"/>
        </w:rPr>
        <w:t>“UBC Spin-Off Companies.” </w:t>
      </w:r>
      <w:r w:rsidRPr="00971CF7">
        <w:rPr>
          <w:i/>
          <w:iCs/>
          <w:color w:val="000000"/>
        </w:rPr>
        <w:t>UBC</w:t>
      </w:r>
      <w:r w:rsidRPr="00971CF7">
        <w:rPr>
          <w:color w:val="000000"/>
        </w:rPr>
        <w:t>, University-Industry Liaison Office, uilo.ubc.ca/</w:t>
      </w:r>
      <w:proofErr w:type="spellStart"/>
      <w:r w:rsidRPr="00971CF7">
        <w:rPr>
          <w:color w:val="000000"/>
        </w:rPr>
        <w:t>ubc</w:t>
      </w:r>
      <w:proofErr w:type="spellEnd"/>
      <w:r w:rsidRPr="00971CF7">
        <w:rPr>
          <w:color w:val="000000"/>
        </w:rPr>
        <w:t>-spin-companies.</w:t>
      </w:r>
      <w:bookmarkEnd w:id="0"/>
      <w:bookmarkEnd w:id="1"/>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6336E3" w:rsidRDefault="006336E3" w:rsidP="00B4400B">
      <w:pPr>
        <w:ind w:hanging="600"/>
        <w:rPr>
          <w:color w:val="000000"/>
        </w:rPr>
      </w:pPr>
    </w:p>
    <w:p w:rsidR="00782CB1" w:rsidRPr="00971CF7" w:rsidRDefault="00782CB1" w:rsidP="00555658">
      <w:pPr>
        <w:rPr>
          <w:color w:val="000000"/>
        </w:rPr>
      </w:pPr>
    </w:p>
    <w:sectPr w:rsidR="00782CB1" w:rsidRPr="00971CF7" w:rsidSect="00720DB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A82" w:rsidRDefault="00275A82" w:rsidP="00D721F4">
      <w:r>
        <w:separator/>
      </w:r>
    </w:p>
  </w:endnote>
  <w:endnote w:type="continuationSeparator" w:id="0">
    <w:p w:rsidR="00275A82" w:rsidRDefault="00275A82" w:rsidP="00D7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8664813"/>
      <w:docPartObj>
        <w:docPartGallery w:val="Page Numbers (Bottom of Page)"/>
        <w:docPartUnique/>
      </w:docPartObj>
    </w:sdtPr>
    <w:sdtContent>
      <w:p w:rsidR="00D721F4" w:rsidRDefault="00D721F4" w:rsidP="001124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721F4" w:rsidRDefault="00D721F4" w:rsidP="00D72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4056552"/>
      <w:docPartObj>
        <w:docPartGallery w:val="Page Numbers (Bottom of Page)"/>
        <w:docPartUnique/>
      </w:docPartObj>
    </w:sdtPr>
    <w:sdtContent>
      <w:p w:rsidR="00D721F4" w:rsidRDefault="00D721F4" w:rsidP="001124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721F4" w:rsidRDefault="00D721F4" w:rsidP="00D721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A82" w:rsidRDefault="00275A82" w:rsidP="00D721F4">
      <w:r>
        <w:separator/>
      </w:r>
    </w:p>
  </w:footnote>
  <w:footnote w:type="continuationSeparator" w:id="0">
    <w:p w:rsidR="00275A82" w:rsidRDefault="00275A82" w:rsidP="00D72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27478"/>
    <w:multiLevelType w:val="multilevel"/>
    <w:tmpl w:val="F49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E75AFD"/>
    <w:multiLevelType w:val="multilevel"/>
    <w:tmpl w:val="C4F8062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6A97637F"/>
    <w:multiLevelType w:val="hybridMultilevel"/>
    <w:tmpl w:val="B758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3343D"/>
    <w:multiLevelType w:val="hybridMultilevel"/>
    <w:tmpl w:val="6954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D9"/>
    <w:rsid w:val="00010643"/>
    <w:rsid w:val="00026951"/>
    <w:rsid w:val="00041E8E"/>
    <w:rsid w:val="000C7805"/>
    <w:rsid w:val="000D65CF"/>
    <w:rsid w:val="0013219E"/>
    <w:rsid w:val="00154EF3"/>
    <w:rsid w:val="002738BD"/>
    <w:rsid w:val="00275A82"/>
    <w:rsid w:val="00291EAB"/>
    <w:rsid w:val="002A7989"/>
    <w:rsid w:val="002D0CFC"/>
    <w:rsid w:val="00306A20"/>
    <w:rsid w:val="00310979"/>
    <w:rsid w:val="00353CA4"/>
    <w:rsid w:val="00374290"/>
    <w:rsid w:val="003A389A"/>
    <w:rsid w:val="003A4620"/>
    <w:rsid w:val="003D4BAF"/>
    <w:rsid w:val="003D504D"/>
    <w:rsid w:val="003D661B"/>
    <w:rsid w:val="00402FF9"/>
    <w:rsid w:val="004141B5"/>
    <w:rsid w:val="00462741"/>
    <w:rsid w:val="0046736E"/>
    <w:rsid w:val="0048611B"/>
    <w:rsid w:val="004E017B"/>
    <w:rsid w:val="0054654A"/>
    <w:rsid w:val="00555658"/>
    <w:rsid w:val="0059309F"/>
    <w:rsid w:val="005F51C6"/>
    <w:rsid w:val="006336E3"/>
    <w:rsid w:val="0065072A"/>
    <w:rsid w:val="006761D8"/>
    <w:rsid w:val="006C7D85"/>
    <w:rsid w:val="006F0CA3"/>
    <w:rsid w:val="006F6166"/>
    <w:rsid w:val="00720DB0"/>
    <w:rsid w:val="00735406"/>
    <w:rsid w:val="007455BA"/>
    <w:rsid w:val="007777A6"/>
    <w:rsid w:val="00782CB1"/>
    <w:rsid w:val="00787D32"/>
    <w:rsid w:val="007E6A82"/>
    <w:rsid w:val="007F6B31"/>
    <w:rsid w:val="008A1236"/>
    <w:rsid w:val="008D7728"/>
    <w:rsid w:val="0090586A"/>
    <w:rsid w:val="00917584"/>
    <w:rsid w:val="009419CA"/>
    <w:rsid w:val="00954E67"/>
    <w:rsid w:val="00960E4A"/>
    <w:rsid w:val="00971CF7"/>
    <w:rsid w:val="009B7B11"/>
    <w:rsid w:val="009D54AE"/>
    <w:rsid w:val="00A448CF"/>
    <w:rsid w:val="00AA167D"/>
    <w:rsid w:val="00AA35C6"/>
    <w:rsid w:val="00B3029E"/>
    <w:rsid w:val="00B4400B"/>
    <w:rsid w:val="00B44E45"/>
    <w:rsid w:val="00B52B96"/>
    <w:rsid w:val="00B85917"/>
    <w:rsid w:val="00B87616"/>
    <w:rsid w:val="00BA4364"/>
    <w:rsid w:val="00BB56F9"/>
    <w:rsid w:val="00BC6BAE"/>
    <w:rsid w:val="00BC7148"/>
    <w:rsid w:val="00BF4C8D"/>
    <w:rsid w:val="00C273D9"/>
    <w:rsid w:val="00C612F3"/>
    <w:rsid w:val="00CE04D0"/>
    <w:rsid w:val="00D721F4"/>
    <w:rsid w:val="00D93B4D"/>
    <w:rsid w:val="00E833A8"/>
    <w:rsid w:val="00EC1983"/>
    <w:rsid w:val="00EC7FE4"/>
    <w:rsid w:val="00EE47E1"/>
    <w:rsid w:val="00F470A7"/>
    <w:rsid w:val="00F97CF1"/>
    <w:rsid w:val="00FA0FC5"/>
    <w:rsid w:val="00FB5A13"/>
    <w:rsid w:val="00FE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FA01"/>
  <w15:chartTrackingRefBased/>
  <w15:docId w15:val="{D629B7AB-79F6-0541-9F13-26D41C75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91E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3D9"/>
    <w:pPr>
      <w:spacing w:before="100" w:beforeAutospacing="1" w:after="100" w:afterAutospacing="1"/>
    </w:pPr>
  </w:style>
  <w:style w:type="character" w:customStyle="1" w:styleId="Title1">
    <w:name w:val="Title1"/>
    <w:basedOn w:val="DefaultParagraphFont"/>
    <w:rsid w:val="00C273D9"/>
  </w:style>
  <w:style w:type="character" w:customStyle="1" w:styleId="leadin">
    <w:name w:val="leadin"/>
    <w:basedOn w:val="DefaultParagraphFont"/>
    <w:rsid w:val="00C273D9"/>
  </w:style>
  <w:style w:type="character" w:styleId="Strong">
    <w:name w:val="Strong"/>
    <w:basedOn w:val="DefaultParagraphFont"/>
    <w:uiPriority w:val="22"/>
    <w:qFormat/>
    <w:rsid w:val="002D0CFC"/>
    <w:rPr>
      <w:b/>
      <w:bCs/>
    </w:rPr>
  </w:style>
  <w:style w:type="character" w:styleId="Emphasis">
    <w:name w:val="Emphasis"/>
    <w:basedOn w:val="DefaultParagraphFont"/>
    <w:uiPriority w:val="20"/>
    <w:qFormat/>
    <w:rsid w:val="002D0CFC"/>
    <w:rPr>
      <w:i/>
      <w:iCs/>
    </w:rPr>
  </w:style>
  <w:style w:type="paragraph" w:styleId="ListParagraph">
    <w:name w:val="List Paragraph"/>
    <w:basedOn w:val="Normal"/>
    <w:uiPriority w:val="34"/>
    <w:qFormat/>
    <w:rsid w:val="002A7989"/>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9419CA"/>
    <w:rPr>
      <w:sz w:val="18"/>
      <w:szCs w:val="18"/>
    </w:rPr>
  </w:style>
  <w:style w:type="paragraph" w:styleId="CommentText">
    <w:name w:val="annotation text"/>
    <w:basedOn w:val="Normal"/>
    <w:link w:val="CommentTextChar"/>
    <w:uiPriority w:val="99"/>
    <w:semiHidden/>
    <w:unhideWhenUsed/>
    <w:rsid w:val="009419CA"/>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9419CA"/>
  </w:style>
  <w:style w:type="paragraph" w:styleId="CommentSubject">
    <w:name w:val="annotation subject"/>
    <w:basedOn w:val="CommentText"/>
    <w:next w:val="CommentText"/>
    <w:link w:val="CommentSubjectChar"/>
    <w:uiPriority w:val="99"/>
    <w:semiHidden/>
    <w:unhideWhenUsed/>
    <w:rsid w:val="009419CA"/>
    <w:rPr>
      <w:b/>
      <w:bCs/>
      <w:sz w:val="20"/>
      <w:szCs w:val="20"/>
    </w:rPr>
  </w:style>
  <w:style w:type="character" w:customStyle="1" w:styleId="CommentSubjectChar">
    <w:name w:val="Comment Subject Char"/>
    <w:basedOn w:val="CommentTextChar"/>
    <w:link w:val="CommentSubject"/>
    <w:uiPriority w:val="99"/>
    <w:semiHidden/>
    <w:rsid w:val="009419CA"/>
    <w:rPr>
      <w:b/>
      <w:bCs/>
      <w:sz w:val="20"/>
      <w:szCs w:val="20"/>
    </w:rPr>
  </w:style>
  <w:style w:type="paragraph" w:styleId="BalloonText">
    <w:name w:val="Balloon Text"/>
    <w:basedOn w:val="Normal"/>
    <w:link w:val="BalloonTextChar"/>
    <w:uiPriority w:val="99"/>
    <w:semiHidden/>
    <w:unhideWhenUsed/>
    <w:rsid w:val="009419CA"/>
    <w:rPr>
      <w:sz w:val="18"/>
      <w:szCs w:val="18"/>
    </w:rPr>
  </w:style>
  <w:style w:type="character" w:customStyle="1" w:styleId="BalloonTextChar">
    <w:name w:val="Balloon Text Char"/>
    <w:basedOn w:val="DefaultParagraphFont"/>
    <w:link w:val="BalloonText"/>
    <w:uiPriority w:val="99"/>
    <w:semiHidden/>
    <w:rsid w:val="009419CA"/>
    <w:rPr>
      <w:rFonts w:ascii="Times New Roman" w:hAnsi="Times New Roman" w:cs="Times New Roman"/>
      <w:sz w:val="18"/>
      <w:szCs w:val="18"/>
    </w:rPr>
  </w:style>
  <w:style w:type="character" w:customStyle="1" w:styleId="apple-converted-space">
    <w:name w:val="apple-converted-space"/>
    <w:basedOn w:val="DefaultParagraphFont"/>
    <w:rsid w:val="00A448CF"/>
  </w:style>
  <w:style w:type="character" w:styleId="Hyperlink">
    <w:name w:val="Hyperlink"/>
    <w:basedOn w:val="DefaultParagraphFont"/>
    <w:uiPriority w:val="99"/>
    <w:unhideWhenUsed/>
    <w:rsid w:val="00A448CF"/>
    <w:rPr>
      <w:color w:val="0563C1" w:themeColor="hyperlink"/>
      <w:u w:val="single"/>
    </w:rPr>
  </w:style>
  <w:style w:type="character" w:customStyle="1" w:styleId="UnresolvedMention1">
    <w:name w:val="Unresolved Mention1"/>
    <w:basedOn w:val="DefaultParagraphFont"/>
    <w:uiPriority w:val="99"/>
    <w:rsid w:val="00A448CF"/>
    <w:rPr>
      <w:color w:val="808080"/>
      <w:shd w:val="clear" w:color="auto" w:fill="E6E6E6"/>
    </w:rPr>
  </w:style>
  <w:style w:type="paragraph" w:styleId="NoSpacing">
    <w:name w:val="No Spacing"/>
    <w:uiPriority w:val="1"/>
    <w:qFormat/>
    <w:rsid w:val="00971CF7"/>
  </w:style>
  <w:style w:type="character" w:styleId="UnresolvedMention">
    <w:name w:val="Unresolved Mention"/>
    <w:basedOn w:val="DefaultParagraphFont"/>
    <w:uiPriority w:val="99"/>
    <w:rsid w:val="003D504D"/>
    <w:rPr>
      <w:color w:val="808080"/>
      <w:shd w:val="clear" w:color="auto" w:fill="E6E6E6"/>
    </w:rPr>
  </w:style>
  <w:style w:type="paragraph" w:styleId="Footer">
    <w:name w:val="footer"/>
    <w:basedOn w:val="Normal"/>
    <w:link w:val="FooterChar"/>
    <w:uiPriority w:val="99"/>
    <w:unhideWhenUsed/>
    <w:rsid w:val="00D721F4"/>
    <w:pPr>
      <w:tabs>
        <w:tab w:val="center" w:pos="4680"/>
        <w:tab w:val="right" w:pos="9360"/>
      </w:tabs>
    </w:pPr>
  </w:style>
  <w:style w:type="character" w:customStyle="1" w:styleId="FooterChar">
    <w:name w:val="Footer Char"/>
    <w:basedOn w:val="DefaultParagraphFont"/>
    <w:link w:val="Footer"/>
    <w:uiPriority w:val="99"/>
    <w:rsid w:val="00D721F4"/>
    <w:rPr>
      <w:rFonts w:ascii="Times New Roman" w:eastAsia="Times New Roman" w:hAnsi="Times New Roman" w:cs="Times New Roman"/>
    </w:rPr>
  </w:style>
  <w:style w:type="character" w:styleId="PageNumber">
    <w:name w:val="page number"/>
    <w:basedOn w:val="DefaultParagraphFont"/>
    <w:uiPriority w:val="99"/>
    <w:semiHidden/>
    <w:unhideWhenUsed/>
    <w:rsid w:val="00D72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2920">
      <w:bodyDiv w:val="1"/>
      <w:marLeft w:val="0"/>
      <w:marRight w:val="0"/>
      <w:marTop w:val="0"/>
      <w:marBottom w:val="0"/>
      <w:divBdr>
        <w:top w:val="none" w:sz="0" w:space="0" w:color="auto"/>
        <w:left w:val="none" w:sz="0" w:space="0" w:color="auto"/>
        <w:bottom w:val="none" w:sz="0" w:space="0" w:color="auto"/>
        <w:right w:val="none" w:sz="0" w:space="0" w:color="auto"/>
      </w:divBdr>
    </w:div>
    <w:div w:id="760027890">
      <w:bodyDiv w:val="1"/>
      <w:marLeft w:val="0"/>
      <w:marRight w:val="0"/>
      <w:marTop w:val="0"/>
      <w:marBottom w:val="0"/>
      <w:divBdr>
        <w:top w:val="none" w:sz="0" w:space="0" w:color="auto"/>
        <w:left w:val="none" w:sz="0" w:space="0" w:color="auto"/>
        <w:bottom w:val="none" w:sz="0" w:space="0" w:color="auto"/>
        <w:right w:val="none" w:sz="0" w:space="0" w:color="auto"/>
      </w:divBdr>
    </w:div>
    <w:div w:id="846402939">
      <w:bodyDiv w:val="1"/>
      <w:marLeft w:val="0"/>
      <w:marRight w:val="0"/>
      <w:marTop w:val="0"/>
      <w:marBottom w:val="0"/>
      <w:divBdr>
        <w:top w:val="none" w:sz="0" w:space="0" w:color="auto"/>
        <w:left w:val="none" w:sz="0" w:space="0" w:color="auto"/>
        <w:bottom w:val="none" w:sz="0" w:space="0" w:color="auto"/>
        <w:right w:val="none" w:sz="0" w:space="0" w:color="auto"/>
      </w:divBdr>
    </w:div>
    <w:div w:id="939530393">
      <w:bodyDiv w:val="1"/>
      <w:marLeft w:val="0"/>
      <w:marRight w:val="0"/>
      <w:marTop w:val="0"/>
      <w:marBottom w:val="0"/>
      <w:divBdr>
        <w:top w:val="none" w:sz="0" w:space="0" w:color="auto"/>
        <w:left w:val="none" w:sz="0" w:space="0" w:color="auto"/>
        <w:bottom w:val="none" w:sz="0" w:space="0" w:color="auto"/>
        <w:right w:val="none" w:sz="0" w:space="0" w:color="auto"/>
      </w:divBdr>
    </w:div>
    <w:div w:id="1362709311">
      <w:bodyDiv w:val="1"/>
      <w:marLeft w:val="0"/>
      <w:marRight w:val="0"/>
      <w:marTop w:val="0"/>
      <w:marBottom w:val="0"/>
      <w:divBdr>
        <w:top w:val="none" w:sz="0" w:space="0" w:color="auto"/>
        <w:left w:val="none" w:sz="0" w:space="0" w:color="auto"/>
        <w:bottom w:val="none" w:sz="0" w:space="0" w:color="auto"/>
        <w:right w:val="none" w:sz="0" w:space="0" w:color="auto"/>
      </w:divBdr>
    </w:div>
    <w:div w:id="1792213234">
      <w:bodyDiv w:val="1"/>
      <w:marLeft w:val="0"/>
      <w:marRight w:val="0"/>
      <w:marTop w:val="0"/>
      <w:marBottom w:val="0"/>
      <w:divBdr>
        <w:top w:val="none" w:sz="0" w:space="0" w:color="auto"/>
        <w:left w:val="none" w:sz="0" w:space="0" w:color="auto"/>
        <w:bottom w:val="none" w:sz="0" w:space="0" w:color="auto"/>
        <w:right w:val="none" w:sz="0" w:space="0" w:color="auto"/>
      </w:divBdr>
      <w:divsChild>
        <w:div w:id="1110854418">
          <w:marLeft w:val="600"/>
          <w:marRight w:val="0"/>
          <w:marTop w:val="0"/>
          <w:marBottom w:val="0"/>
          <w:divBdr>
            <w:top w:val="none" w:sz="0" w:space="0" w:color="auto"/>
            <w:left w:val="none" w:sz="0" w:space="0" w:color="auto"/>
            <w:bottom w:val="none" w:sz="0" w:space="0" w:color="auto"/>
            <w:right w:val="none" w:sz="0" w:space="0" w:color="auto"/>
          </w:divBdr>
        </w:div>
        <w:div w:id="585921002">
          <w:marLeft w:val="600"/>
          <w:marRight w:val="0"/>
          <w:marTop w:val="0"/>
          <w:marBottom w:val="0"/>
          <w:divBdr>
            <w:top w:val="none" w:sz="0" w:space="0" w:color="auto"/>
            <w:left w:val="none" w:sz="0" w:space="0" w:color="auto"/>
            <w:bottom w:val="none" w:sz="0" w:space="0" w:color="auto"/>
            <w:right w:val="none" w:sz="0" w:space="0" w:color="auto"/>
          </w:divBdr>
        </w:div>
        <w:div w:id="1244990322">
          <w:marLeft w:val="600"/>
          <w:marRight w:val="0"/>
          <w:marTop w:val="0"/>
          <w:marBottom w:val="0"/>
          <w:divBdr>
            <w:top w:val="none" w:sz="0" w:space="0" w:color="auto"/>
            <w:left w:val="none" w:sz="0" w:space="0" w:color="auto"/>
            <w:bottom w:val="none" w:sz="0" w:space="0" w:color="auto"/>
            <w:right w:val="none" w:sz="0" w:space="0" w:color="auto"/>
          </w:divBdr>
        </w:div>
        <w:div w:id="592058452">
          <w:marLeft w:val="600"/>
          <w:marRight w:val="0"/>
          <w:marTop w:val="0"/>
          <w:marBottom w:val="0"/>
          <w:divBdr>
            <w:top w:val="none" w:sz="0" w:space="0" w:color="auto"/>
            <w:left w:val="none" w:sz="0" w:space="0" w:color="auto"/>
            <w:bottom w:val="none" w:sz="0" w:space="0" w:color="auto"/>
            <w:right w:val="none" w:sz="0" w:space="0" w:color="auto"/>
          </w:divBdr>
        </w:div>
      </w:divsChild>
    </w:div>
    <w:div w:id="20672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sehub.ca/"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Faculty Involvement</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42C0-0948-A23E-438ABF437C7F}"/>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42C0-0948-A23E-438ABF437C7F}"/>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42C0-0948-A23E-438ABF437C7F}"/>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42C0-0948-A23E-438ABF437C7F}"/>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42C0-0948-A23E-438ABF437C7F}"/>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42C0-0948-A23E-438ABF437C7F}"/>
              </c:ext>
            </c:extLst>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c:ext xmlns:c16="http://schemas.microsoft.com/office/drawing/2014/chart" uri="{C3380CC4-5D6E-409C-BE32-E72D297353CC}">
                <c16:uniqueId val="{0000000D-42C0-0948-A23E-438ABF437C7F}"/>
              </c:ext>
            </c:extLst>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c:ext xmlns:c16="http://schemas.microsoft.com/office/drawing/2014/chart" uri="{C3380CC4-5D6E-409C-BE32-E72D297353CC}">
                <c16:uniqueId val="{0000000F-42C0-0948-A23E-438ABF437C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Sheet1!$A$2:$A$9</c:f>
              <c:strCache>
                <c:ptCount val="8"/>
                <c:pt idx="0">
                  <c:v>Arts: 14</c:v>
                </c:pt>
                <c:pt idx="1">
                  <c:v>Sauder: 23</c:v>
                </c:pt>
                <c:pt idx="2">
                  <c:v>Sciences: 17</c:v>
                </c:pt>
                <c:pt idx="3">
                  <c:v>Engineering: 21</c:v>
                </c:pt>
                <c:pt idx="4">
                  <c:v>Kinesiology: 3</c:v>
                </c:pt>
                <c:pt idx="5">
                  <c:v>LFS: 5</c:v>
                </c:pt>
                <c:pt idx="6">
                  <c:v>Forestry: 3</c:v>
                </c:pt>
                <c:pt idx="7">
                  <c:v>Nursing: 9</c:v>
                </c:pt>
              </c:strCache>
            </c:strRef>
          </c:cat>
          <c:val>
            <c:numRef>
              <c:f>Sheet1!$B$2:$B$9</c:f>
              <c:numCache>
                <c:formatCode>General</c:formatCode>
                <c:ptCount val="8"/>
                <c:pt idx="0">
                  <c:v>14</c:v>
                </c:pt>
                <c:pt idx="1">
                  <c:v>23</c:v>
                </c:pt>
                <c:pt idx="2">
                  <c:v>17</c:v>
                </c:pt>
                <c:pt idx="3">
                  <c:v>21</c:v>
                </c:pt>
                <c:pt idx="4">
                  <c:v>3</c:v>
                </c:pt>
                <c:pt idx="5">
                  <c:v>5</c:v>
                </c:pt>
                <c:pt idx="6">
                  <c:v>3</c:v>
                </c:pt>
                <c:pt idx="7">
                  <c:v>9</c:v>
                </c:pt>
              </c:numCache>
            </c:numRef>
          </c:val>
          <c:extLst>
            <c:ext xmlns:c16="http://schemas.microsoft.com/office/drawing/2014/chart" uri="{C3380CC4-5D6E-409C-BE32-E72D297353CC}">
              <c16:uniqueId val="{00000000-5237-B74E-9253-CE183FAF57F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ln>
                <a:noFill/>
              </a:ln>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Faculty Involvement</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19BB-9343-9789-20623C206FB1}"/>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19BB-9343-9789-20623C206FB1}"/>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19BB-9343-9789-20623C206FB1}"/>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19BB-9343-9789-20623C206FB1}"/>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19BB-9343-9789-20623C206FB1}"/>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19BB-9343-9789-20623C206FB1}"/>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Sheet1!$A$2:$A$7</c:f>
              <c:strCache>
                <c:ptCount val="6"/>
                <c:pt idx="0">
                  <c:v>Nursing: 17</c:v>
                </c:pt>
                <c:pt idx="1">
                  <c:v>Science: 35</c:v>
                </c:pt>
                <c:pt idx="2">
                  <c:v>Arts: 28</c:v>
                </c:pt>
                <c:pt idx="3">
                  <c:v>Engineering: 41</c:v>
                </c:pt>
                <c:pt idx="4">
                  <c:v>Commerce: 48</c:v>
                </c:pt>
                <c:pt idx="5">
                  <c:v>LFS: 1</c:v>
                </c:pt>
              </c:strCache>
            </c:strRef>
          </c:cat>
          <c:val>
            <c:numRef>
              <c:f>Sheet1!$B$2:$B$7</c:f>
              <c:numCache>
                <c:formatCode>General</c:formatCode>
                <c:ptCount val="6"/>
                <c:pt idx="0">
                  <c:v>17</c:v>
                </c:pt>
                <c:pt idx="1">
                  <c:v>35</c:v>
                </c:pt>
                <c:pt idx="2">
                  <c:v>28</c:v>
                </c:pt>
                <c:pt idx="3">
                  <c:v>41</c:v>
                </c:pt>
                <c:pt idx="4">
                  <c:v>48</c:v>
                </c:pt>
                <c:pt idx="5">
                  <c:v>1</c:v>
                </c:pt>
              </c:numCache>
            </c:numRef>
          </c:val>
          <c:extLst>
            <c:ext xmlns:c16="http://schemas.microsoft.com/office/drawing/2014/chart" uri="{C3380CC4-5D6E-409C-BE32-E72D297353CC}">
              <c16:uniqueId val="{0000000C-19BB-9343-9789-20623C206FB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rot="0" vert="horz" anchor="t" anchorCtr="0"/>
    <a:lstStyle/>
    <a:p>
      <a:pPr>
        <a:defRPr>
          <a:ln>
            <a:noFill/>
          </a:ln>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Faculty Involvement</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0B54-E142-B5A1-0FDAAA5BFED4}"/>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0B54-E142-B5A1-0FDAAA5BFED4}"/>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0B54-E142-B5A1-0FDAAA5BFED4}"/>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0B54-E142-B5A1-0FDAAA5BFED4}"/>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0B54-E142-B5A1-0FDAAA5BFED4}"/>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0B54-E142-B5A1-0FDAAA5BFE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Sheet1!$A$2:$A$7</c:f>
              <c:strCache>
                <c:ptCount val="6"/>
                <c:pt idx="0">
                  <c:v>Nursing: 11</c:v>
                </c:pt>
                <c:pt idx="1">
                  <c:v>Science: 27</c:v>
                </c:pt>
                <c:pt idx="2">
                  <c:v>Arts: 18</c:v>
                </c:pt>
                <c:pt idx="3">
                  <c:v>Engineering: 32</c:v>
                </c:pt>
                <c:pt idx="4">
                  <c:v>Commerce: 41</c:v>
                </c:pt>
                <c:pt idx="5">
                  <c:v>LFS: 1</c:v>
                </c:pt>
              </c:strCache>
            </c:strRef>
          </c:cat>
          <c:val>
            <c:numRef>
              <c:f>Sheet1!$B$2:$B$7</c:f>
              <c:numCache>
                <c:formatCode>General</c:formatCode>
                <c:ptCount val="6"/>
                <c:pt idx="0">
                  <c:v>11</c:v>
                </c:pt>
                <c:pt idx="1">
                  <c:v>27</c:v>
                </c:pt>
                <c:pt idx="2">
                  <c:v>18</c:v>
                </c:pt>
                <c:pt idx="3">
                  <c:v>32</c:v>
                </c:pt>
                <c:pt idx="4">
                  <c:v>41</c:v>
                </c:pt>
                <c:pt idx="5">
                  <c:v>1</c:v>
                </c:pt>
              </c:numCache>
            </c:numRef>
          </c:val>
          <c:extLst>
            <c:ext xmlns:c16="http://schemas.microsoft.com/office/drawing/2014/chart" uri="{C3380CC4-5D6E-409C-BE32-E72D297353CC}">
              <c16:uniqueId val="{00000000-91A2-434D-9288-13772051E36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10</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2018-03-22T02:04:00Z</dcterms:created>
  <dcterms:modified xsi:type="dcterms:W3CDTF">2018-03-24T02:52:00Z</dcterms:modified>
</cp:coreProperties>
</file>