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B8A15" w14:textId="7395DDE0" w:rsidR="00004556" w:rsidRPr="00140E7A" w:rsidRDefault="005635D9">
      <w:pPr>
        <w:rPr>
          <w:sz w:val="22"/>
          <w:szCs w:val="22"/>
          <w:u w:val="single"/>
          <w:lang w:val="en-CA"/>
        </w:rPr>
      </w:pPr>
      <w:bookmarkStart w:id="0" w:name="_GoBack"/>
      <w:bookmarkEnd w:id="0"/>
      <w:r w:rsidRPr="00140E7A">
        <w:rPr>
          <w:sz w:val="22"/>
          <w:szCs w:val="22"/>
          <w:u w:val="single"/>
          <w:lang w:val="en-CA"/>
        </w:rPr>
        <w:t xml:space="preserve">Handout &amp; Discussion Guide </w:t>
      </w:r>
      <w:r w:rsidR="004F2A6C" w:rsidRPr="00140E7A">
        <w:rPr>
          <w:sz w:val="22"/>
          <w:szCs w:val="22"/>
          <w:u w:val="single"/>
          <w:lang w:val="en-CA"/>
        </w:rPr>
        <w:t xml:space="preserve">– Self-Study Methodology </w:t>
      </w:r>
      <w:r w:rsidR="002607F8" w:rsidRPr="00140E7A">
        <w:rPr>
          <w:sz w:val="22"/>
          <w:szCs w:val="22"/>
          <w:u w:val="single"/>
          <w:lang w:val="en-CA"/>
        </w:rPr>
        <w:t xml:space="preserve"> </w:t>
      </w:r>
    </w:p>
    <w:p w14:paraId="4139797B" w14:textId="1F385C8E" w:rsidR="002607F8" w:rsidRDefault="00140E7A">
      <w:pPr>
        <w:rPr>
          <w:sz w:val="22"/>
          <w:szCs w:val="22"/>
          <w:lang w:val="en-CA"/>
        </w:rPr>
      </w:pPr>
      <w:r>
        <w:rPr>
          <w:sz w:val="22"/>
          <w:szCs w:val="22"/>
          <w:lang w:val="en-CA"/>
        </w:rPr>
        <w:t>Colin Dring, January 18</w:t>
      </w:r>
      <w:r w:rsidRPr="00140E7A">
        <w:rPr>
          <w:sz w:val="22"/>
          <w:szCs w:val="22"/>
          <w:vertAlign w:val="superscript"/>
          <w:lang w:val="en-CA"/>
        </w:rPr>
        <w:t>th</w:t>
      </w:r>
      <w:r>
        <w:rPr>
          <w:sz w:val="22"/>
          <w:szCs w:val="22"/>
          <w:lang w:val="en-CA"/>
        </w:rPr>
        <w:t xml:space="preserve"> 2018 – Qualitative Research Methods Community of Practice </w:t>
      </w:r>
    </w:p>
    <w:p w14:paraId="558C9851" w14:textId="77777777" w:rsidR="00140E7A" w:rsidRPr="001621CF" w:rsidRDefault="00140E7A">
      <w:pPr>
        <w:rPr>
          <w:sz w:val="22"/>
          <w:szCs w:val="22"/>
          <w:lang w:val="en-CA"/>
        </w:rPr>
      </w:pPr>
    </w:p>
    <w:p w14:paraId="03306B8C" w14:textId="62F72941" w:rsidR="002607F8" w:rsidRPr="001621CF" w:rsidRDefault="002C1F67">
      <w:pPr>
        <w:rPr>
          <w:sz w:val="22"/>
          <w:szCs w:val="22"/>
          <w:lang w:val="en-CA"/>
        </w:rPr>
      </w:pPr>
      <w:r w:rsidRPr="001621CF">
        <w:rPr>
          <w:sz w:val="22"/>
          <w:szCs w:val="22"/>
          <w:lang w:val="en-CA"/>
        </w:rPr>
        <w:t>Grounded in social constructivist learning theory, self-study is seen as a systematic methodology to explain and analyze the mechanisms by which teachers learn (Wilson &amp;</w:t>
      </w:r>
      <w:r w:rsidR="000218E9">
        <w:rPr>
          <w:sz w:val="22"/>
          <w:szCs w:val="22"/>
          <w:lang w:val="en-CA"/>
        </w:rPr>
        <w:t xml:space="preserve"> Berne, 1999, in </w:t>
      </w:r>
      <w:proofErr w:type="spellStart"/>
      <w:r w:rsidR="000218E9">
        <w:rPr>
          <w:sz w:val="22"/>
          <w:szCs w:val="22"/>
          <w:lang w:val="en-CA"/>
        </w:rPr>
        <w:t>LaBoskey</w:t>
      </w:r>
      <w:proofErr w:type="spellEnd"/>
      <w:r w:rsidR="000218E9">
        <w:rPr>
          <w:sz w:val="22"/>
          <w:szCs w:val="22"/>
          <w:lang w:val="en-CA"/>
        </w:rPr>
        <w:t xml:space="preserve"> </w:t>
      </w:r>
      <w:r w:rsidRPr="001621CF">
        <w:rPr>
          <w:sz w:val="22"/>
          <w:szCs w:val="22"/>
          <w:lang w:val="en-CA"/>
        </w:rPr>
        <w:t xml:space="preserve">2004). </w:t>
      </w:r>
      <w:r w:rsidR="005B4B34" w:rsidRPr="001621CF">
        <w:rPr>
          <w:sz w:val="22"/>
          <w:szCs w:val="22"/>
          <w:lang w:val="en-CA"/>
        </w:rPr>
        <w:t>Social constructivist learning theory posits – change cannot be effected from outside a person, learning is processed through previous experience (personal history and cultural context matter), and learning is enhanced by problematizing assumptions/worldviews/current practices through critical reflection of practical experience and multiple perspectives (e.g. other teachers, students, peers &amp; broader acad</w:t>
      </w:r>
      <w:r w:rsidR="000218E9">
        <w:rPr>
          <w:sz w:val="22"/>
          <w:szCs w:val="22"/>
          <w:lang w:val="en-CA"/>
        </w:rPr>
        <w:t>emic literature) (</w:t>
      </w:r>
      <w:proofErr w:type="spellStart"/>
      <w:r w:rsidR="000218E9">
        <w:rPr>
          <w:sz w:val="22"/>
          <w:szCs w:val="22"/>
          <w:lang w:val="en-CA"/>
        </w:rPr>
        <w:t>LaBoskey</w:t>
      </w:r>
      <w:proofErr w:type="spellEnd"/>
      <w:r w:rsidR="005B4B34" w:rsidRPr="001621CF">
        <w:rPr>
          <w:sz w:val="22"/>
          <w:szCs w:val="22"/>
          <w:lang w:val="en-CA"/>
        </w:rPr>
        <w:t xml:space="preserve"> 2004). There is an explicit rejection of foundational criteria for knowing – that is generalizability and knowability. </w:t>
      </w:r>
      <w:proofErr w:type="gramStart"/>
      <w:r w:rsidR="005B4B34" w:rsidRPr="001621CF">
        <w:rPr>
          <w:sz w:val="22"/>
          <w:szCs w:val="22"/>
          <w:lang w:val="en-CA"/>
        </w:rPr>
        <w:t>Therefore</w:t>
      </w:r>
      <w:proofErr w:type="gramEnd"/>
      <w:r w:rsidR="005B4B34" w:rsidRPr="001621CF">
        <w:rPr>
          <w:sz w:val="22"/>
          <w:szCs w:val="22"/>
          <w:lang w:val="en-CA"/>
        </w:rPr>
        <w:t xml:space="preserve"> a focus is made on the subjective and particular in which inquiry occurs through a process of dialogue (with self and others) to question what the practitioner is coming to know and to seek alternative explanations and ways of construing meaning (Hamilton &amp; </w:t>
      </w:r>
      <w:proofErr w:type="spellStart"/>
      <w:r w:rsidR="005B4B34" w:rsidRPr="001621CF">
        <w:rPr>
          <w:sz w:val="22"/>
          <w:szCs w:val="22"/>
          <w:lang w:val="en-CA"/>
        </w:rPr>
        <w:t>Pinnegar</w:t>
      </w:r>
      <w:proofErr w:type="spellEnd"/>
      <w:r w:rsidR="005B4B34" w:rsidRPr="001621CF">
        <w:rPr>
          <w:sz w:val="22"/>
          <w:szCs w:val="22"/>
          <w:lang w:val="en-CA"/>
        </w:rPr>
        <w:t xml:space="preserve">, 1998). </w:t>
      </w:r>
    </w:p>
    <w:p w14:paraId="7B315AD5" w14:textId="77777777" w:rsidR="002C1F67" w:rsidRPr="001621CF" w:rsidRDefault="002C1F67">
      <w:pPr>
        <w:rPr>
          <w:sz w:val="22"/>
          <w:szCs w:val="22"/>
          <w:lang w:val="en-CA"/>
        </w:rPr>
      </w:pPr>
    </w:p>
    <w:p w14:paraId="13765019" w14:textId="4BABA474" w:rsidR="005B4B34" w:rsidRPr="001621CF" w:rsidRDefault="005B4B34">
      <w:pPr>
        <w:rPr>
          <w:sz w:val="22"/>
          <w:szCs w:val="22"/>
          <w:lang w:val="en-CA"/>
        </w:rPr>
      </w:pPr>
      <w:r w:rsidRPr="001621CF">
        <w:rPr>
          <w:sz w:val="22"/>
          <w:szCs w:val="22"/>
          <w:lang w:val="en-CA"/>
        </w:rPr>
        <w:t>Arising from the discipline of education with an explicit interest in the praxis (reflection and action) of teachers desiring to link their practice to theory. The work of self-study is the study of one’s self including actions, ideas, and those concepts and criteria that comprise ‘not the self’ or the ‘other.’ It is autobiographical, historical, cultural and political (</w:t>
      </w:r>
      <w:proofErr w:type="spellStart"/>
      <w:r w:rsidRPr="001621CF">
        <w:rPr>
          <w:sz w:val="22"/>
          <w:szCs w:val="22"/>
          <w:lang w:val="en-CA"/>
        </w:rPr>
        <w:t>Pinnegar</w:t>
      </w:r>
      <w:proofErr w:type="spellEnd"/>
      <w:r w:rsidRPr="001621CF">
        <w:rPr>
          <w:sz w:val="22"/>
          <w:szCs w:val="22"/>
          <w:lang w:val="en-CA"/>
        </w:rPr>
        <w:t xml:space="preserve"> &amp; Hamilton 2009). The object of self-study is the self as knower and inquirer. </w:t>
      </w:r>
      <w:r w:rsidR="000218E9" w:rsidRPr="002B4216">
        <w:rPr>
          <w:sz w:val="22"/>
          <w:szCs w:val="22"/>
          <w:lang w:val="en-CA"/>
        </w:rPr>
        <w:t>I</w:t>
      </w:r>
      <w:r w:rsidR="000218E9" w:rsidRPr="00B5598D">
        <w:rPr>
          <w:rFonts w:eastAsia="Times New Roman" w:cs="Tahoma"/>
          <w:iCs/>
          <w:color w:val="000000"/>
          <w:sz w:val="22"/>
          <w:szCs w:val="22"/>
        </w:rPr>
        <w:t>t is self-initiated and focused; it is improvement-aimed; it is interactive; it includes multiple, mainly qualitative, methods; and it defines validity as a process based on trustworthiness</w:t>
      </w:r>
      <w:r w:rsidR="000218E9" w:rsidRPr="002B4216">
        <w:rPr>
          <w:rFonts w:eastAsia="Times New Roman" w:cs="Tahoma"/>
          <w:iCs/>
          <w:color w:val="000000"/>
          <w:sz w:val="22"/>
          <w:szCs w:val="22"/>
        </w:rPr>
        <w:t xml:space="preserve"> (</w:t>
      </w:r>
      <w:proofErr w:type="spellStart"/>
      <w:r w:rsidR="000218E9" w:rsidRPr="002B4216">
        <w:rPr>
          <w:rFonts w:eastAsia="Times New Roman" w:cs="Tahoma"/>
          <w:iCs/>
          <w:color w:val="000000"/>
          <w:sz w:val="22"/>
          <w:szCs w:val="22"/>
        </w:rPr>
        <w:t>LaBoskey</w:t>
      </w:r>
      <w:proofErr w:type="spellEnd"/>
      <w:r w:rsidR="000218E9" w:rsidRPr="002B4216">
        <w:rPr>
          <w:rFonts w:eastAsia="Times New Roman" w:cs="Tahoma"/>
          <w:iCs/>
          <w:color w:val="000000"/>
          <w:sz w:val="22"/>
          <w:szCs w:val="22"/>
        </w:rPr>
        <w:t xml:space="preserve"> 2004)</w:t>
      </w:r>
      <w:r w:rsidR="000218E9" w:rsidRPr="00B5598D">
        <w:rPr>
          <w:rFonts w:eastAsia="Times New Roman" w:cs="Tahoma"/>
          <w:iCs/>
          <w:color w:val="000000"/>
          <w:sz w:val="22"/>
          <w:szCs w:val="22"/>
        </w:rPr>
        <w:t>.</w:t>
      </w:r>
    </w:p>
    <w:p w14:paraId="0FE85626" w14:textId="77777777" w:rsidR="005B4B34" w:rsidRPr="001621CF" w:rsidRDefault="005B4B34">
      <w:pPr>
        <w:rPr>
          <w:sz w:val="22"/>
          <w:szCs w:val="22"/>
          <w:lang w:val="en-CA"/>
        </w:rPr>
      </w:pPr>
    </w:p>
    <w:p w14:paraId="6324C28A" w14:textId="1448032C" w:rsidR="00B82503" w:rsidRPr="001621CF" w:rsidRDefault="00B82503" w:rsidP="00B82503">
      <w:pPr>
        <w:rPr>
          <w:rFonts w:eastAsia="Times New Roman" w:cs="Arial"/>
          <w:color w:val="222222"/>
          <w:sz w:val="22"/>
          <w:szCs w:val="22"/>
          <w:shd w:val="clear" w:color="auto" w:fill="FFFFFF"/>
        </w:rPr>
      </w:pPr>
      <w:r w:rsidRPr="001621CF">
        <w:rPr>
          <w:sz w:val="22"/>
          <w:szCs w:val="22"/>
          <w:lang w:val="en-CA"/>
        </w:rPr>
        <w:t xml:space="preserve">On validity: </w:t>
      </w:r>
      <w:r w:rsidRPr="001621CF">
        <w:rPr>
          <w:rFonts w:eastAsia="Times New Roman" w:cs="Arial"/>
          <w:color w:val="222222"/>
          <w:sz w:val="22"/>
          <w:szCs w:val="22"/>
          <w:shd w:val="clear" w:color="auto" w:fill="FFFFFF"/>
        </w:rPr>
        <w:t>“However, if the inquirer has a personal stake – the understanding and improvement of the practices and relationships they are enacting with the other(s) in the practice setting – then developing accurate, coherent trustworthy accounts has value. present what we come to understand in two arenas: one is in peer-reviewed research publications and the other is in the change or improvement of practice. marks an ontological commitment more than an epistemological one, because it asserts publicly who owns the responsibility for both the practice and the research on it.” (</w:t>
      </w:r>
      <w:proofErr w:type="spellStart"/>
      <w:r w:rsidRPr="001621CF">
        <w:rPr>
          <w:rFonts w:eastAsia="Times New Roman" w:cs="Arial"/>
          <w:color w:val="222222"/>
          <w:sz w:val="22"/>
          <w:szCs w:val="22"/>
          <w:shd w:val="clear" w:color="auto" w:fill="FFFFFF"/>
        </w:rPr>
        <w:t>Pinnegar</w:t>
      </w:r>
      <w:proofErr w:type="spellEnd"/>
      <w:r w:rsidRPr="001621CF">
        <w:rPr>
          <w:rFonts w:eastAsia="Times New Roman" w:cs="Arial"/>
          <w:color w:val="222222"/>
          <w:sz w:val="22"/>
          <w:szCs w:val="22"/>
          <w:shd w:val="clear" w:color="auto" w:fill="FFFFFF"/>
        </w:rPr>
        <w:t xml:space="preserve"> &amp; Hamilton, 2009, p.13)</w:t>
      </w:r>
    </w:p>
    <w:p w14:paraId="32725452" w14:textId="5C91DEFF" w:rsidR="005B4B34" w:rsidRPr="001621CF" w:rsidRDefault="005B4B34">
      <w:pPr>
        <w:rPr>
          <w:sz w:val="22"/>
          <w:szCs w:val="22"/>
          <w:lang w:val="en-CA"/>
        </w:rPr>
      </w:pPr>
    </w:p>
    <w:p w14:paraId="29AE7D10" w14:textId="1C43C23C" w:rsidR="00B82503" w:rsidRPr="001621CF" w:rsidRDefault="00B82503">
      <w:pPr>
        <w:rPr>
          <w:sz w:val="22"/>
          <w:szCs w:val="22"/>
          <w:lang w:val="en-CA"/>
        </w:rPr>
      </w:pPr>
      <w:r w:rsidRPr="001621CF">
        <w:rPr>
          <w:sz w:val="22"/>
          <w:szCs w:val="22"/>
          <w:lang w:val="en-CA"/>
        </w:rPr>
        <w:t xml:space="preserve">Data collection includes the range of qualitative methods available (e.g. survey, focus groups, interviews, journaling, autobiography, testimonial, photo elicitation, etc…). </w:t>
      </w:r>
    </w:p>
    <w:p w14:paraId="50A9C6FD" w14:textId="77777777" w:rsidR="00B82503" w:rsidRPr="001621CF" w:rsidRDefault="00B82503">
      <w:pPr>
        <w:rPr>
          <w:sz w:val="22"/>
          <w:szCs w:val="22"/>
          <w:lang w:val="en-CA"/>
        </w:rPr>
      </w:pPr>
    </w:p>
    <w:p w14:paraId="6E7F47F8" w14:textId="53050857" w:rsidR="00B82503" w:rsidRDefault="00B82503" w:rsidP="00B82503">
      <w:pPr>
        <w:rPr>
          <w:rFonts w:eastAsia="Times New Roman" w:cs="Arial"/>
          <w:color w:val="222222"/>
          <w:sz w:val="22"/>
          <w:szCs w:val="22"/>
          <w:shd w:val="clear" w:color="auto" w:fill="FFFFFF"/>
        </w:rPr>
      </w:pPr>
      <w:r w:rsidRPr="001621CF">
        <w:rPr>
          <w:sz w:val="22"/>
          <w:szCs w:val="22"/>
          <w:lang w:val="en-CA"/>
        </w:rPr>
        <w:t xml:space="preserve">Data analysis, </w:t>
      </w:r>
      <w:r w:rsidR="00E054EA" w:rsidRPr="001621CF">
        <w:rPr>
          <w:sz w:val="22"/>
          <w:szCs w:val="22"/>
          <w:lang w:val="en-CA"/>
        </w:rPr>
        <w:t>like</w:t>
      </w:r>
      <w:r w:rsidRPr="001621CF">
        <w:rPr>
          <w:sz w:val="22"/>
          <w:szCs w:val="22"/>
          <w:lang w:val="en-CA"/>
        </w:rPr>
        <w:t xml:space="preserve"> grounded theory, base understanding in relation to understanding of others in context. Employing an iterative process examining how phenomenon under study arise in patterns, categories, relationships. Others follow a broad qualitative analytical procedure: </w:t>
      </w:r>
      <w:r w:rsidRPr="001621CF">
        <w:rPr>
          <w:rFonts w:eastAsia="Times New Roman" w:cs="Arial"/>
          <w:color w:val="222222"/>
          <w:sz w:val="22"/>
          <w:szCs w:val="22"/>
          <w:shd w:val="clear" w:color="auto" w:fill="FFFFFF"/>
        </w:rPr>
        <w:t>organizing the data, immersing in the data, generating categories and themes, coding the data, offering interpretations through analytic memos, searching for alternative</w:t>
      </w:r>
      <w:r w:rsidR="00E054EA">
        <w:rPr>
          <w:rFonts w:eastAsia="Times New Roman" w:cs="Arial"/>
          <w:color w:val="222222"/>
          <w:sz w:val="22"/>
          <w:szCs w:val="22"/>
          <w:shd w:val="clear" w:color="auto" w:fill="FFFFFF"/>
        </w:rPr>
        <w:t xml:space="preserve"> </w:t>
      </w:r>
      <w:r w:rsidRPr="001621CF">
        <w:rPr>
          <w:rFonts w:eastAsia="Times New Roman" w:cs="Arial"/>
          <w:color w:val="222222"/>
          <w:sz w:val="22"/>
          <w:szCs w:val="22"/>
          <w:shd w:val="clear" w:color="auto" w:fill="FFFFFF"/>
        </w:rPr>
        <w:t>understandings, and writing the report (</w:t>
      </w:r>
      <w:proofErr w:type="spellStart"/>
      <w:r w:rsidRPr="001621CF">
        <w:rPr>
          <w:rFonts w:eastAsia="Times New Roman" w:cs="Arial"/>
          <w:color w:val="222222"/>
          <w:sz w:val="22"/>
          <w:szCs w:val="22"/>
          <w:shd w:val="clear" w:color="auto" w:fill="FFFFFF"/>
        </w:rPr>
        <w:t>Pinnegar</w:t>
      </w:r>
      <w:proofErr w:type="spellEnd"/>
      <w:r w:rsidRPr="001621CF">
        <w:rPr>
          <w:rFonts w:eastAsia="Times New Roman" w:cs="Arial"/>
          <w:color w:val="222222"/>
          <w:sz w:val="22"/>
          <w:szCs w:val="22"/>
          <w:shd w:val="clear" w:color="auto" w:fill="FFFFFF"/>
        </w:rPr>
        <w:t xml:space="preserve"> &amp; Hamilton, 2009).</w:t>
      </w:r>
    </w:p>
    <w:p w14:paraId="4D212F0D" w14:textId="77777777" w:rsidR="004B01D7" w:rsidRDefault="004B01D7" w:rsidP="00B82503">
      <w:pPr>
        <w:rPr>
          <w:rFonts w:eastAsia="Times New Roman" w:cs="Arial"/>
          <w:color w:val="222222"/>
          <w:sz w:val="22"/>
          <w:szCs w:val="22"/>
          <w:shd w:val="clear" w:color="auto" w:fill="FFFFFF"/>
        </w:rPr>
      </w:pPr>
    </w:p>
    <w:p w14:paraId="0D16D6A7" w14:textId="77777777" w:rsidR="004B01D7" w:rsidRDefault="004B01D7" w:rsidP="00B82503">
      <w:pPr>
        <w:rPr>
          <w:rFonts w:eastAsia="Times New Roman" w:cs="Arial"/>
          <w:color w:val="222222"/>
          <w:sz w:val="22"/>
          <w:szCs w:val="22"/>
          <w:shd w:val="clear" w:color="auto" w:fill="FFFFFF"/>
        </w:rPr>
      </w:pPr>
    </w:p>
    <w:p w14:paraId="40356F61" w14:textId="77777777" w:rsidR="004B01D7" w:rsidRDefault="004B01D7" w:rsidP="00B82503">
      <w:pPr>
        <w:rPr>
          <w:rFonts w:eastAsia="Times New Roman" w:cs="Arial"/>
          <w:color w:val="222222"/>
          <w:sz w:val="22"/>
          <w:szCs w:val="22"/>
          <w:shd w:val="clear" w:color="auto" w:fill="FFFFFF"/>
        </w:rPr>
      </w:pPr>
    </w:p>
    <w:p w14:paraId="5CFEA43E" w14:textId="77777777" w:rsidR="004B01D7" w:rsidRDefault="004B01D7" w:rsidP="00B82503">
      <w:pPr>
        <w:rPr>
          <w:rFonts w:eastAsia="Times New Roman" w:cs="Arial"/>
          <w:color w:val="222222"/>
          <w:sz w:val="22"/>
          <w:szCs w:val="22"/>
          <w:shd w:val="clear" w:color="auto" w:fill="FFFFFF"/>
        </w:rPr>
      </w:pPr>
    </w:p>
    <w:p w14:paraId="2FEFCDB8" w14:textId="77777777" w:rsidR="004B01D7" w:rsidRDefault="004B01D7" w:rsidP="00B82503">
      <w:pPr>
        <w:rPr>
          <w:rFonts w:eastAsia="Times New Roman" w:cs="Arial"/>
          <w:color w:val="222222"/>
          <w:sz w:val="22"/>
          <w:szCs w:val="22"/>
          <w:shd w:val="clear" w:color="auto" w:fill="FFFFFF"/>
        </w:rPr>
      </w:pPr>
    </w:p>
    <w:p w14:paraId="1DB3D49A" w14:textId="77777777" w:rsidR="004B01D7" w:rsidRDefault="004B01D7" w:rsidP="00B82503">
      <w:pPr>
        <w:rPr>
          <w:rFonts w:eastAsia="Times New Roman" w:cs="Arial"/>
          <w:color w:val="222222"/>
          <w:sz w:val="22"/>
          <w:szCs w:val="22"/>
          <w:shd w:val="clear" w:color="auto" w:fill="FFFFFF"/>
        </w:rPr>
      </w:pPr>
    </w:p>
    <w:p w14:paraId="16EFD9BC" w14:textId="77777777" w:rsidR="004B01D7" w:rsidRDefault="004B01D7" w:rsidP="00B82503">
      <w:pPr>
        <w:rPr>
          <w:rFonts w:eastAsia="Times New Roman" w:cs="Arial"/>
          <w:color w:val="222222"/>
          <w:sz w:val="22"/>
          <w:szCs w:val="22"/>
          <w:shd w:val="clear" w:color="auto" w:fill="FFFFFF"/>
        </w:rPr>
      </w:pPr>
    </w:p>
    <w:p w14:paraId="0A80C735" w14:textId="77777777" w:rsidR="004B01D7" w:rsidRPr="00E054EA" w:rsidRDefault="004B01D7" w:rsidP="00B82503">
      <w:pPr>
        <w:rPr>
          <w:rFonts w:eastAsia="Times New Roman" w:cs="Arial"/>
          <w:color w:val="222222"/>
          <w:sz w:val="22"/>
          <w:szCs w:val="22"/>
          <w:shd w:val="clear" w:color="auto" w:fill="FFFFFF"/>
        </w:rPr>
      </w:pPr>
    </w:p>
    <w:p w14:paraId="7B838B8B" w14:textId="77777777" w:rsidR="002C1F67" w:rsidRDefault="002C1F67">
      <w:pPr>
        <w:rPr>
          <w:sz w:val="22"/>
          <w:szCs w:val="22"/>
          <w:lang w:val="en-CA"/>
        </w:rPr>
      </w:pPr>
    </w:p>
    <w:p w14:paraId="19E4F35B" w14:textId="77777777" w:rsidR="00140E7A" w:rsidRDefault="00140E7A" w:rsidP="00140E7A">
      <w:pPr>
        <w:rPr>
          <w:rFonts w:eastAsia="Times New Roman" w:cs="Tahoma"/>
          <w:b/>
          <w:bCs/>
          <w:color w:val="000000"/>
          <w:sz w:val="22"/>
          <w:szCs w:val="22"/>
        </w:rPr>
      </w:pPr>
      <w:r>
        <w:rPr>
          <w:rFonts w:eastAsia="Times New Roman" w:cs="Tahoma"/>
          <w:b/>
          <w:bCs/>
          <w:color w:val="000000"/>
          <w:sz w:val="22"/>
          <w:szCs w:val="22"/>
        </w:rPr>
        <w:lastRenderedPageBreak/>
        <w:t xml:space="preserve">Potential Discussion Questions: </w:t>
      </w:r>
    </w:p>
    <w:p w14:paraId="7F58B44F" w14:textId="77777777" w:rsidR="00140E7A" w:rsidRDefault="00140E7A" w:rsidP="00140E7A">
      <w:pPr>
        <w:rPr>
          <w:rFonts w:eastAsia="Times New Roman" w:cs="Tahoma"/>
          <w:b/>
          <w:bCs/>
          <w:color w:val="000000"/>
          <w:sz w:val="22"/>
          <w:szCs w:val="22"/>
        </w:rPr>
      </w:pPr>
    </w:p>
    <w:p w14:paraId="090A3B21" w14:textId="77777777" w:rsidR="00140E7A" w:rsidRDefault="00140E7A" w:rsidP="00140E7A">
      <w:pPr>
        <w:rPr>
          <w:sz w:val="22"/>
          <w:szCs w:val="22"/>
        </w:rPr>
      </w:pPr>
      <w:r>
        <w:rPr>
          <w:sz w:val="22"/>
          <w:szCs w:val="22"/>
        </w:rPr>
        <w:t xml:space="preserve">As graduate students in a natural sciences faculty, qualitative methodologies are often subject to increased scrutiny. What did you find surprising with respect to self-study? How comfortable would you be in articulating your own positionality and context in a research paper? </w:t>
      </w:r>
    </w:p>
    <w:p w14:paraId="688B2159" w14:textId="77777777" w:rsidR="00140E7A" w:rsidRDefault="00140E7A" w:rsidP="00140E7A">
      <w:pPr>
        <w:rPr>
          <w:sz w:val="22"/>
          <w:szCs w:val="22"/>
        </w:rPr>
      </w:pPr>
    </w:p>
    <w:p w14:paraId="3C8B54A9" w14:textId="77777777" w:rsidR="00140E7A" w:rsidRDefault="00140E7A" w:rsidP="00140E7A">
      <w:pPr>
        <w:rPr>
          <w:sz w:val="22"/>
          <w:szCs w:val="22"/>
        </w:rPr>
      </w:pPr>
      <w:proofErr w:type="spellStart"/>
      <w:r>
        <w:rPr>
          <w:sz w:val="22"/>
          <w:szCs w:val="22"/>
        </w:rPr>
        <w:t>LaBoskey</w:t>
      </w:r>
      <w:proofErr w:type="spellEnd"/>
      <w:r>
        <w:rPr>
          <w:sz w:val="22"/>
          <w:szCs w:val="22"/>
        </w:rPr>
        <w:t xml:space="preserve"> defines validity through trustworthiness rather than through traditional scientific concepts – generalizability, replicability, etc… How do you interpret trustworthiness? How might your discipline approach trustworthiness similarly or differently? </w:t>
      </w:r>
    </w:p>
    <w:p w14:paraId="483B9E80" w14:textId="77777777" w:rsidR="00140E7A" w:rsidRDefault="00140E7A" w:rsidP="00140E7A">
      <w:pPr>
        <w:rPr>
          <w:sz w:val="22"/>
          <w:szCs w:val="22"/>
        </w:rPr>
      </w:pPr>
    </w:p>
    <w:p w14:paraId="323C7CCD" w14:textId="77777777" w:rsidR="00140E7A" w:rsidRDefault="00140E7A" w:rsidP="00140E7A">
      <w:pPr>
        <w:rPr>
          <w:sz w:val="22"/>
          <w:szCs w:val="22"/>
        </w:rPr>
      </w:pPr>
      <w:r>
        <w:rPr>
          <w:sz w:val="22"/>
          <w:szCs w:val="22"/>
        </w:rPr>
        <w:t xml:space="preserve">Self-study arises in the educational disciplines, but seems applicable to other practitioner/researcher fields where the division between knower/inquirer is blurred. How might others react to efforts to bring subjectivity, cultural context, etc… into the research process? </w:t>
      </w:r>
    </w:p>
    <w:p w14:paraId="12A332EA" w14:textId="77777777" w:rsidR="00140E7A" w:rsidRPr="001621CF" w:rsidRDefault="00140E7A">
      <w:pPr>
        <w:rPr>
          <w:sz w:val="22"/>
          <w:szCs w:val="22"/>
          <w:lang w:val="en-CA"/>
        </w:rPr>
      </w:pPr>
    </w:p>
    <w:p w14:paraId="2806B72D" w14:textId="178D9F42" w:rsidR="00C15BE7" w:rsidRPr="001621CF" w:rsidRDefault="00C15BE7" w:rsidP="00C15BE7">
      <w:pPr>
        <w:rPr>
          <w:rFonts w:eastAsia="Times New Roman" w:cs="Arial"/>
          <w:i/>
          <w:color w:val="222222"/>
          <w:sz w:val="22"/>
          <w:szCs w:val="22"/>
          <w:shd w:val="clear" w:color="auto" w:fill="FFFFFF"/>
        </w:rPr>
      </w:pPr>
      <w:r w:rsidRPr="001621CF">
        <w:rPr>
          <w:rFonts w:eastAsia="Times New Roman" w:cs="Arial"/>
          <w:i/>
          <w:color w:val="222222"/>
          <w:sz w:val="22"/>
          <w:szCs w:val="22"/>
          <w:shd w:val="clear" w:color="auto" w:fill="FFFFFF"/>
        </w:rPr>
        <w:t>Framework-for-Analysis of the work of other researchers</w:t>
      </w:r>
      <w:r w:rsidR="008A2BC3">
        <w:rPr>
          <w:rFonts w:eastAsia="Times New Roman" w:cs="Arial"/>
          <w:i/>
          <w:color w:val="222222"/>
          <w:sz w:val="22"/>
          <w:szCs w:val="22"/>
          <w:shd w:val="clear" w:color="auto" w:fill="FFFFFF"/>
        </w:rPr>
        <w:t xml:space="preserve"> (</w:t>
      </w:r>
      <w:proofErr w:type="spellStart"/>
      <w:r w:rsidR="008A2BC3">
        <w:rPr>
          <w:rFonts w:eastAsia="Times New Roman" w:cs="Arial"/>
          <w:i/>
          <w:color w:val="222222"/>
          <w:sz w:val="22"/>
          <w:szCs w:val="22"/>
          <w:shd w:val="clear" w:color="auto" w:fill="FFFFFF"/>
        </w:rPr>
        <w:t>Pinnegar</w:t>
      </w:r>
      <w:proofErr w:type="spellEnd"/>
      <w:r w:rsidR="008A2BC3">
        <w:rPr>
          <w:rFonts w:eastAsia="Times New Roman" w:cs="Arial"/>
          <w:i/>
          <w:color w:val="222222"/>
          <w:sz w:val="22"/>
          <w:szCs w:val="22"/>
          <w:shd w:val="clear" w:color="auto" w:fill="FFFFFF"/>
        </w:rPr>
        <w:t xml:space="preserve"> &amp; Hamilton 2009)</w:t>
      </w:r>
    </w:p>
    <w:p w14:paraId="527AB51F" w14:textId="4A431ABA" w:rsidR="00072B50" w:rsidRPr="001621CF" w:rsidRDefault="00072B50" w:rsidP="005E22BC">
      <w:pPr>
        <w:rPr>
          <w:rFonts w:eastAsia="Times New Roman" w:cs="Arial"/>
          <w:color w:val="222222"/>
          <w:sz w:val="22"/>
          <w:szCs w:val="22"/>
          <w:shd w:val="clear" w:color="auto" w:fill="FFFFFF"/>
        </w:rPr>
      </w:pPr>
    </w:p>
    <w:p w14:paraId="744E191A" w14:textId="60AC5BA7" w:rsidR="00C15BE7" w:rsidRPr="001621CF" w:rsidRDefault="00C15BE7" w:rsidP="00C15BE7">
      <w:pPr>
        <w:pStyle w:val="ListParagraph"/>
        <w:numPr>
          <w:ilvl w:val="0"/>
          <w:numId w:val="2"/>
        </w:numPr>
        <w:rPr>
          <w:rFonts w:eastAsia="Times New Roman" w:cs="Arial"/>
          <w:color w:val="222222"/>
          <w:sz w:val="22"/>
          <w:szCs w:val="22"/>
          <w:shd w:val="clear" w:color="auto" w:fill="FFFFFF"/>
        </w:rPr>
      </w:pPr>
      <w:r w:rsidRPr="001621CF">
        <w:rPr>
          <w:rFonts w:eastAsia="Times New Roman" w:cs="Arial"/>
          <w:color w:val="222222"/>
          <w:sz w:val="22"/>
          <w:szCs w:val="22"/>
          <w:shd w:val="clear" w:color="auto" w:fill="FFFFFF"/>
        </w:rPr>
        <w:t>What is the purpose? The purpose of a self-study – any study – should be obvious to the reader.</w:t>
      </w:r>
    </w:p>
    <w:p w14:paraId="13D99AF3" w14:textId="7434B694" w:rsidR="00C15BE7" w:rsidRPr="001621CF" w:rsidRDefault="00C15BE7" w:rsidP="00C15BE7">
      <w:pPr>
        <w:pStyle w:val="ListParagraph"/>
        <w:numPr>
          <w:ilvl w:val="0"/>
          <w:numId w:val="2"/>
        </w:numPr>
        <w:rPr>
          <w:rFonts w:eastAsia="Times New Roman" w:cs="Arial"/>
          <w:color w:val="222222"/>
          <w:sz w:val="22"/>
          <w:szCs w:val="22"/>
          <w:shd w:val="clear" w:color="auto" w:fill="FFFFFF"/>
        </w:rPr>
      </w:pPr>
      <w:r w:rsidRPr="001621CF">
        <w:rPr>
          <w:rFonts w:eastAsia="Times New Roman" w:cs="Arial"/>
          <w:color w:val="222222"/>
          <w:sz w:val="22"/>
          <w:szCs w:val="22"/>
          <w:shd w:val="clear" w:color="auto" w:fill="FFFFFF"/>
        </w:rPr>
        <w:t>What is the definition of self-study? The definition of self-study needs to be apparent for the reader to understand the researcher’s frame.</w:t>
      </w:r>
    </w:p>
    <w:p w14:paraId="6D697FB7" w14:textId="22DE0463" w:rsidR="00C15BE7" w:rsidRPr="001621CF" w:rsidRDefault="00C15BE7" w:rsidP="00C15BE7">
      <w:pPr>
        <w:pStyle w:val="ListParagraph"/>
        <w:numPr>
          <w:ilvl w:val="0"/>
          <w:numId w:val="2"/>
        </w:numPr>
        <w:rPr>
          <w:rFonts w:eastAsia="Times New Roman" w:cs="Arial"/>
          <w:color w:val="222222"/>
          <w:sz w:val="22"/>
          <w:szCs w:val="22"/>
          <w:shd w:val="clear" w:color="auto" w:fill="FFFFFF"/>
        </w:rPr>
      </w:pPr>
      <w:r w:rsidRPr="001621CF">
        <w:rPr>
          <w:rFonts w:eastAsia="Times New Roman" w:cs="Arial"/>
          <w:color w:val="222222"/>
          <w:sz w:val="22"/>
          <w:szCs w:val="22"/>
          <w:shd w:val="clear" w:color="auto" w:fill="FFFFFF"/>
        </w:rPr>
        <w:t>What is the definition of self-study methodology? How the researcher defines their methodological approach becomes essential for the readers to discern whether they are reading a self-study.</w:t>
      </w:r>
    </w:p>
    <w:p w14:paraId="009C0A9C" w14:textId="1BD4F517" w:rsidR="00C15BE7" w:rsidRPr="001621CF" w:rsidRDefault="00C15BE7" w:rsidP="00C15BE7">
      <w:pPr>
        <w:pStyle w:val="ListParagraph"/>
        <w:numPr>
          <w:ilvl w:val="0"/>
          <w:numId w:val="2"/>
        </w:numPr>
        <w:rPr>
          <w:rFonts w:eastAsia="Times New Roman" w:cs="Arial"/>
          <w:color w:val="222222"/>
          <w:sz w:val="22"/>
          <w:szCs w:val="22"/>
          <w:shd w:val="clear" w:color="auto" w:fill="FFFFFF"/>
        </w:rPr>
      </w:pPr>
      <w:r w:rsidRPr="001621CF">
        <w:rPr>
          <w:rFonts w:eastAsia="Times New Roman" w:cs="Arial"/>
          <w:color w:val="222222"/>
          <w:sz w:val="22"/>
          <w:szCs w:val="22"/>
          <w:shd w:val="clear" w:color="auto" w:fill="FFFFFF"/>
        </w:rPr>
        <w:t>What are the rigorous research practices of S-STTEP methodology? The use of strategies that fit the researcher’s questions empowers any study.</w:t>
      </w:r>
    </w:p>
    <w:p w14:paraId="19DD819F" w14:textId="75D80259" w:rsidR="00C15BE7" w:rsidRPr="001621CF" w:rsidRDefault="00C15BE7" w:rsidP="00C15BE7">
      <w:pPr>
        <w:pStyle w:val="ListParagraph"/>
        <w:numPr>
          <w:ilvl w:val="0"/>
          <w:numId w:val="2"/>
        </w:numPr>
        <w:rPr>
          <w:rFonts w:eastAsia="Times New Roman" w:cs="Arial"/>
          <w:color w:val="222222"/>
          <w:sz w:val="22"/>
          <w:szCs w:val="22"/>
          <w:shd w:val="clear" w:color="auto" w:fill="FFFFFF"/>
        </w:rPr>
      </w:pPr>
      <w:r w:rsidRPr="001621CF">
        <w:rPr>
          <w:rFonts w:eastAsia="Times New Roman" w:cs="Arial"/>
          <w:color w:val="222222"/>
          <w:sz w:val="22"/>
          <w:szCs w:val="22"/>
          <w:shd w:val="clear" w:color="auto" w:fill="FFFFFF"/>
        </w:rPr>
        <w:t>What is the explicit evidence? Evidence of the data collected, like excerpts from fieldnotes or interviews and so on, helps readers see the connections the researcher identifies.</w:t>
      </w:r>
    </w:p>
    <w:p w14:paraId="41464075" w14:textId="156B19AB" w:rsidR="00C15BE7" w:rsidRPr="001621CF" w:rsidRDefault="00C15BE7" w:rsidP="00C15BE7">
      <w:pPr>
        <w:pStyle w:val="ListParagraph"/>
        <w:numPr>
          <w:ilvl w:val="0"/>
          <w:numId w:val="2"/>
        </w:numPr>
        <w:rPr>
          <w:rFonts w:eastAsia="Times New Roman" w:cs="Arial"/>
          <w:color w:val="222222"/>
          <w:sz w:val="22"/>
          <w:szCs w:val="22"/>
          <w:shd w:val="clear" w:color="auto" w:fill="FFFFFF"/>
        </w:rPr>
      </w:pPr>
      <w:r w:rsidRPr="001621CF">
        <w:rPr>
          <w:rFonts w:eastAsia="Times New Roman" w:cs="Arial"/>
          <w:color w:val="222222"/>
          <w:sz w:val="22"/>
          <w:szCs w:val="22"/>
          <w:shd w:val="clear" w:color="auto" w:fill="FFFFFF"/>
        </w:rPr>
        <w:t>What is the authority of experience expressed in the paper? The ways researchers position themselves within practice–experience–theory inform the reader about the study and the stance of the researcher.</w:t>
      </w:r>
    </w:p>
    <w:p w14:paraId="11771A40" w14:textId="42A60FA2" w:rsidR="00C15BE7" w:rsidRPr="001621CF" w:rsidRDefault="00C15BE7" w:rsidP="00C15BE7">
      <w:pPr>
        <w:pStyle w:val="ListParagraph"/>
        <w:numPr>
          <w:ilvl w:val="0"/>
          <w:numId w:val="2"/>
        </w:numPr>
        <w:rPr>
          <w:rFonts w:eastAsia="Times New Roman" w:cs="Arial"/>
          <w:color w:val="222222"/>
          <w:sz w:val="22"/>
          <w:szCs w:val="22"/>
          <w:shd w:val="clear" w:color="auto" w:fill="FFFFFF"/>
        </w:rPr>
      </w:pPr>
      <w:r w:rsidRPr="001621CF">
        <w:rPr>
          <w:rFonts w:eastAsia="Times New Roman" w:cs="Arial"/>
          <w:color w:val="222222"/>
          <w:sz w:val="22"/>
          <w:szCs w:val="22"/>
          <w:shd w:val="clear" w:color="auto" w:fill="FFFFFF"/>
        </w:rPr>
        <w:t>How is the research situated within a related yet broader research literature? A self-study must be situated within the broader related research literature to help the reader understand the frame presented.</w:t>
      </w:r>
    </w:p>
    <w:p w14:paraId="4AAE2BDB" w14:textId="2300BC7F" w:rsidR="00C15BE7" w:rsidRPr="001621CF" w:rsidRDefault="00C15BE7" w:rsidP="00C15BE7">
      <w:pPr>
        <w:pStyle w:val="ListParagraph"/>
        <w:numPr>
          <w:ilvl w:val="0"/>
          <w:numId w:val="2"/>
        </w:numPr>
        <w:rPr>
          <w:rFonts w:eastAsia="Times New Roman" w:cs="Arial"/>
          <w:color w:val="222222"/>
          <w:sz w:val="22"/>
          <w:szCs w:val="22"/>
          <w:shd w:val="clear" w:color="auto" w:fill="FFFFFF"/>
        </w:rPr>
      </w:pPr>
      <w:r w:rsidRPr="001621CF">
        <w:rPr>
          <w:rFonts w:eastAsia="Times New Roman" w:cs="Arial"/>
          <w:color w:val="222222"/>
          <w:sz w:val="22"/>
          <w:szCs w:val="22"/>
          <w:shd w:val="clear" w:color="auto" w:fill="FFFFFF"/>
        </w:rPr>
        <w:t>What is the story of self? The wa</w:t>
      </w:r>
      <w:r w:rsidR="00EA680A" w:rsidRPr="001621CF">
        <w:rPr>
          <w:rFonts w:eastAsia="Times New Roman" w:cs="Arial"/>
          <w:color w:val="222222"/>
          <w:sz w:val="22"/>
          <w:szCs w:val="22"/>
          <w:shd w:val="clear" w:color="auto" w:fill="FFFFFF"/>
        </w:rPr>
        <w:t xml:space="preserve">ys the researcher situates self, </w:t>
      </w:r>
      <w:r w:rsidRPr="001621CF">
        <w:rPr>
          <w:rFonts w:eastAsia="Times New Roman" w:cs="Arial"/>
          <w:color w:val="222222"/>
          <w:sz w:val="22"/>
          <w:szCs w:val="22"/>
          <w:shd w:val="clear" w:color="auto" w:fill="FFFFFF"/>
        </w:rPr>
        <w:t>provide evidence of self-study.</w:t>
      </w:r>
    </w:p>
    <w:p w14:paraId="0EE05140" w14:textId="03CACB15" w:rsidR="00CA0D86" w:rsidRPr="001621CF" w:rsidRDefault="00C15BE7" w:rsidP="00C15BE7">
      <w:pPr>
        <w:pStyle w:val="ListParagraph"/>
        <w:numPr>
          <w:ilvl w:val="0"/>
          <w:numId w:val="2"/>
        </w:numPr>
        <w:rPr>
          <w:rFonts w:eastAsia="Times New Roman" w:cs="Arial"/>
          <w:color w:val="222222"/>
          <w:sz w:val="22"/>
          <w:szCs w:val="22"/>
          <w:shd w:val="clear" w:color="auto" w:fill="FFFFFF"/>
        </w:rPr>
      </w:pPr>
      <w:r w:rsidRPr="001621CF">
        <w:rPr>
          <w:rFonts w:eastAsia="Times New Roman" w:cs="Arial"/>
          <w:color w:val="222222"/>
          <w:sz w:val="22"/>
          <w:szCs w:val="22"/>
          <w:shd w:val="clear" w:color="auto" w:fill="FFFFFF"/>
        </w:rPr>
        <w:t>What are the questions raised while reading the study?</w:t>
      </w:r>
    </w:p>
    <w:p w14:paraId="6B3ECDE2" w14:textId="77777777" w:rsidR="00077F92" w:rsidRDefault="00077F92" w:rsidP="00750918">
      <w:pPr>
        <w:rPr>
          <w:rFonts w:eastAsia="Times New Roman" w:cs="Arial"/>
          <w:color w:val="222222"/>
          <w:sz w:val="22"/>
          <w:szCs w:val="22"/>
          <w:shd w:val="clear" w:color="auto" w:fill="FFFFFF"/>
        </w:rPr>
      </w:pPr>
    </w:p>
    <w:p w14:paraId="096701CB" w14:textId="77777777" w:rsidR="004B01D7" w:rsidRDefault="004B01D7" w:rsidP="00750918">
      <w:pPr>
        <w:rPr>
          <w:sz w:val="22"/>
          <w:szCs w:val="22"/>
        </w:rPr>
      </w:pPr>
    </w:p>
    <w:p w14:paraId="7F0C40D1" w14:textId="17B1EAB5" w:rsidR="00EE3702" w:rsidRPr="00EE3702" w:rsidRDefault="00EE3702" w:rsidP="00750918">
      <w:pPr>
        <w:rPr>
          <w:sz w:val="22"/>
          <w:szCs w:val="22"/>
          <w:u w:val="single"/>
        </w:rPr>
      </w:pPr>
      <w:r w:rsidRPr="00EE3702">
        <w:rPr>
          <w:sz w:val="22"/>
          <w:szCs w:val="22"/>
          <w:u w:val="single"/>
        </w:rPr>
        <w:t xml:space="preserve">References Cited: </w:t>
      </w:r>
    </w:p>
    <w:p w14:paraId="141F8159" w14:textId="77777777" w:rsidR="00EE3702" w:rsidRDefault="00EE3702" w:rsidP="00750918">
      <w:pPr>
        <w:rPr>
          <w:sz w:val="22"/>
          <w:szCs w:val="22"/>
        </w:rPr>
      </w:pPr>
    </w:p>
    <w:p w14:paraId="27780667" w14:textId="77777777" w:rsidR="00EE3702" w:rsidRPr="001621CF" w:rsidRDefault="00EE3702" w:rsidP="00EE3702">
      <w:pPr>
        <w:ind w:left="426" w:hanging="426"/>
        <w:rPr>
          <w:rFonts w:eastAsia="Times New Roman" w:cs="Times New Roman"/>
          <w:sz w:val="22"/>
          <w:szCs w:val="22"/>
        </w:rPr>
      </w:pPr>
      <w:proofErr w:type="spellStart"/>
      <w:r w:rsidRPr="001621CF">
        <w:rPr>
          <w:rFonts w:eastAsia="Times New Roman" w:cs="Arial"/>
          <w:color w:val="222222"/>
          <w:sz w:val="22"/>
          <w:szCs w:val="22"/>
          <w:shd w:val="clear" w:color="auto" w:fill="FFFFFF"/>
        </w:rPr>
        <w:t>LaBoskey</w:t>
      </w:r>
      <w:proofErr w:type="spellEnd"/>
      <w:r w:rsidRPr="001621CF">
        <w:rPr>
          <w:rFonts w:eastAsia="Times New Roman" w:cs="Arial"/>
          <w:color w:val="222222"/>
          <w:sz w:val="22"/>
          <w:szCs w:val="22"/>
          <w:shd w:val="clear" w:color="auto" w:fill="FFFFFF"/>
        </w:rPr>
        <w:t>, V. K. (2004). The methodology of self-study and its theoretical underpinnings. In </w:t>
      </w:r>
      <w:r w:rsidRPr="001621CF">
        <w:rPr>
          <w:rFonts w:eastAsia="Times New Roman" w:cs="Arial"/>
          <w:i/>
          <w:iCs/>
          <w:color w:val="222222"/>
          <w:sz w:val="22"/>
          <w:szCs w:val="22"/>
          <w:shd w:val="clear" w:color="auto" w:fill="FFFFFF"/>
        </w:rPr>
        <w:t>International handbook of self-study of teaching and teacher education practices</w:t>
      </w:r>
      <w:r w:rsidRPr="001621CF">
        <w:rPr>
          <w:rFonts w:eastAsia="Times New Roman" w:cs="Arial"/>
          <w:color w:val="222222"/>
          <w:sz w:val="22"/>
          <w:szCs w:val="22"/>
          <w:shd w:val="clear" w:color="auto" w:fill="FFFFFF"/>
        </w:rPr>
        <w:t> (pp. 817-869). Springer Netherlands.</w:t>
      </w:r>
    </w:p>
    <w:p w14:paraId="429A6640" w14:textId="77777777" w:rsidR="00EE3702" w:rsidRPr="001621CF" w:rsidRDefault="00EE3702" w:rsidP="00EE3702">
      <w:pPr>
        <w:ind w:left="426" w:hanging="426"/>
        <w:rPr>
          <w:sz w:val="22"/>
          <w:szCs w:val="22"/>
          <w:lang w:val="en-CA"/>
        </w:rPr>
      </w:pPr>
    </w:p>
    <w:p w14:paraId="38516E02" w14:textId="77777777" w:rsidR="00EE3702" w:rsidRPr="001621CF" w:rsidRDefault="00EE3702" w:rsidP="00EE3702">
      <w:pPr>
        <w:ind w:left="426" w:hanging="426"/>
        <w:rPr>
          <w:rFonts w:eastAsia="Times New Roman" w:cs="Arial"/>
          <w:color w:val="222222"/>
          <w:sz w:val="22"/>
          <w:szCs w:val="22"/>
          <w:shd w:val="clear" w:color="auto" w:fill="FFFFFF"/>
        </w:rPr>
      </w:pPr>
      <w:proofErr w:type="spellStart"/>
      <w:r w:rsidRPr="001621CF">
        <w:rPr>
          <w:rFonts w:eastAsia="Times New Roman" w:cs="Arial"/>
          <w:color w:val="222222"/>
          <w:sz w:val="22"/>
          <w:szCs w:val="22"/>
          <w:shd w:val="clear" w:color="auto" w:fill="FFFFFF"/>
        </w:rPr>
        <w:t>Pinnegar</w:t>
      </w:r>
      <w:proofErr w:type="spellEnd"/>
      <w:r w:rsidRPr="001621CF">
        <w:rPr>
          <w:rFonts w:eastAsia="Times New Roman" w:cs="Arial"/>
          <w:color w:val="222222"/>
          <w:sz w:val="22"/>
          <w:szCs w:val="22"/>
          <w:shd w:val="clear" w:color="auto" w:fill="FFFFFF"/>
        </w:rPr>
        <w:t>, S., &amp; Hamilton, M. L. (2009). </w:t>
      </w:r>
      <w:r w:rsidRPr="001621CF">
        <w:rPr>
          <w:rFonts w:eastAsia="Times New Roman" w:cs="Arial"/>
          <w:i/>
          <w:iCs/>
          <w:color w:val="222222"/>
          <w:sz w:val="22"/>
          <w:szCs w:val="22"/>
          <w:shd w:val="clear" w:color="auto" w:fill="FFFFFF"/>
        </w:rPr>
        <w:t xml:space="preserve">Self-study of practice as a genre of qualitative research: Theory, methodology, and practice </w:t>
      </w:r>
      <w:r w:rsidRPr="001621CF">
        <w:rPr>
          <w:rFonts w:eastAsia="Times New Roman" w:cs="Arial"/>
          <w:color w:val="222222"/>
          <w:sz w:val="22"/>
          <w:szCs w:val="22"/>
          <w:shd w:val="clear" w:color="auto" w:fill="FFFFFF"/>
        </w:rPr>
        <w:t>(Vol. 8). Springer Science &amp; Business Media.</w:t>
      </w:r>
    </w:p>
    <w:p w14:paraId="26F60484" w14:textId="77777777" w:rsidR="00EE3702" w:rsidRPr="001621CF" w:rsidRDefault="00EE3702" w:rsidP="00EE3702">
      <w:pPr>
        <w:ind w:left="426" w:hanging="426"/>
        <w:rPr>
          <w:rFonts w:eastAsia="Times New Roman" w:cs="Arial"/>
          <w:color w:val="222222"/>
          <w:sz w:val="22"/>
          <w:szCs w:val="22"/>
          <w:shd w:val="clear" w:color="auto" w:fill="FFFFFF"/>
        </w:rPr>
      </w:pPr>
    </w:p>
    <w:p w14:paraId="0D44E7A9" w14:textId="4FBC6B70" w:rsidR="00EE3702" w:rsidRPr="004B01D7" w:rsidRDefault="00EE3702" w:rsidP="004B01D7">
      <w:pPr>
        <w:ind w:left="426" w:hanging="426"/>
        <w:rPr>
          <w:rFonts w:eastAsia="Times New Roman" w:cs="Arial"/>
          <w:i/>
          <w:color w:val="222222"/>
          <w:sz w:val="22"/>
          <w:szCs w:val="22"/>
          <w:shd w:val="clear" w:color="auto" w:fill="FFFFFF"/>
        </w:rPr>
      </w:pPr>
      <w:r w:rsidRPr="001621CF">
        <w:rPr>
          <w:rFonts w:eastAsia="Times New Roman" w:cs="Arial"/>
          <w:i/>
          <w:color w:val="222222"/>
          <w:sz w:val="22"/>
          <w:szCs w:val="22"/>
          <w:shd w:val="clear" w:color="auto" w:fill="FFFFFF"/>
        </w:rPr>
        <w:t xml:space="preserve">Hamilton, M. L., &amp; </w:t>
      </w:r>
      <w:proofErr w:type="spellStart"/>
      <w:r w:rsidRPr="001621CF">
        <w:rPr>
          <w:rFonts w:eastAsia="Times New Roman" w:cs="Arial"/>
          <w:i/>
          <w:color w:val="222222"/>
          <w:sz w:val="22"/>
          <w:szCs w:val="22"/>
          <w:shd w:val="clear" w:color="auto" w:fill="FFFFFF"/>
        </w:rPr>
        <w:t>Pinnegar</w:t>
      </w:r>
      <w:proofErr w:type="spellEnd"/>
      <w:r w:rsidRPr="001621CF">
        <w:rPr>
          <w:rFonts w:eastAsia="Times New Roman" w:cs="Arial"/>
          <w:i/>
          <w:color w:val="222222"/>
          <w:sz w:val="22"/>
          <w:szCs w:val="22"/>
          <w:shd w:val="clear" w:color="auto" w:fill="FFFFFF"/>
        </w:rPr>
        <w:t xml:space="preserve">, S. (1998b). The value and the promise of self-study. In M. L. Hamilton, S. </w:t>
      </w:r>
      <w:proofErr w:type="spellStart"/>
      <w:r w:rsidRPr="001621CF">
        <w:rPr>
          <w:rFonts w:eastAsia="Times New Roman" w:cs="Arial"/>
          <w:i/>
          <w:color w:val="222222"/>
          <w:sz w:val="22"/>
          <w:szCs w:val="22"/>
          <w:shd w:val="clear" w:color="auto" w:fill="FFFFFF"/>
        </w:rPr>
        <w:t>Pinnegar</w:t>
      </w:r>
      <w:proofErr w:type="spellEnd"/>
      <w:r w:rsidRPr="001621CF">
        <w:rPr>
          <w:rFonts w:eastAsia="Times New Roman" w:cs="Arial"/>
          <w:i/>
          <w:color w:val="222222"/>
          <w:sz w:val="22"/>
          <w:szCs w:val="22"/>
          <w:shd w:val="clear" w:color="auto" w:fill="FFFFFF"/>
        </w:rPr>
        <w:t xml:space="preserve">, T. Russell, J. Loughran, &amp; V. </w:t>
      </w:r>
      <w:proofErr w:type="spellStart"/>
      <w:r w:rsidRPr="001621CF">
        <w:rPr>
          <w:rFonts w:eastAsia="Times New Roman" w:cs="Arial"/>
          <w:i/>
          <w:color w:val="222222"/>
          <w:sz w:val="22"/>
          <w:szCs w:val="22"/>
          <w:shd w:val="clear" w:color="auto" w:fill="FFFFFF"/>
        </w:rPr>
        <w:t>LaBoskey</w:t>
      </w:r>
      <w:proofErr w:type="spellEnd"/>
      <w:r w:rsidRPr="001621CF">
        <w:rPr>
          <w:rFonts w:eastAsia="Times New Roman" w:cs="Arial"/>
          <w:i/>
          <w:color w:val="222222"/>
          <w:sz w:val="22"/>
          <w:szCs w:val="22"/>
          <w:shd w:val="clear" w:color="auto" w:fill="FFFFFF"/>
        </w:rPr>
        <w:t xml:space="preserve"> (Eds.), </w:t>
      </w:r>
      <w:proofErr w:type="spellStart"/>
      <w:r w:rsidRPr="001621CF">
        <w:rPr>
          <w:rFonts w:eastAsia="Times New Roman" w:cs="Arial"/>
          <w:i/>
          <w:color w:val="222222"/>
          <w:sz w:val="22"/>
          <w:szCs w:val="22"/>
          <w:shd w:val="clear" w:color="auto" w:fill="FFFFFF"/>
        </w:rPr>
        <w:t>Reconceptualizing</w:t>
      </w:r>
      <w:proofErr w:type="spellEnd"/>
      <w:r w:rsidRPr="001621CF">
        <w:rPr>
          <w:rFonts w:eastAsia="Times New Roman" w:cs="Arial"/>
          <w:i/>
          <w:color w:val="222222"/>
          <w:sz w:val="22"/>
          <w:szCs w:val="22"/>
          <w:shd w:val="clear" w:color="auto" w:fill="FFFFFF"/>
        </w:rPr>
        <w:t xml:space="preserve"> the education of teachers: self-study in teacher education (pp. 235–246). London: Falmer.</w:t>
      </w:r>
    </w:p>
    <w:sectPr w:rsidR="00EE3702" w:rsidRPr="004B01D7" w:rsidSect="008F71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3E15"/>
    <w:multiLevelType w:val="multilevel"/>
    <w:tmpl w:val="D3F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F29D6"/>
    <w:multiLevelType w:val="hybridMultilevel"/>
    <w:tmpl w:val="86887F14"/>
    <w:lvl w:ilvl="0" w:tplc="BC50F1B6">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427EE"/>
    <w:multiLevelType w:val="hybridMultilevel"/>
    <w:tmpl w:val="CBBC9AAE"/>
    <w:lvl w:ilvl="0" w:tplc="4E4AC1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B37A1"/>
    <w:multiLevelType w:val="hybridMultilevel"/>
    <w:tmpl w:val="CE8A0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962DE"/>
    <w:multiLevelType w:val="multilevel"/>
    <w:tmpl w:val="4156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A6E61"/>
    <w:multiLevelType w:val="multilevel"/>
    <w:tmpl w:val="8998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8"/>
    <w:rsid w:val="00004556"/>
    <w:rsid w:val="000218E9"/>
    <w:rsid w:val="00023B71"/>
    <w:rsid w:val="00070ABA"/>
    <w:rsid w:val="00072B50"/>
    <w:rsid w:val="00077F92"/>
    <w:rsid w:val="00130FAF"/>
    <w:rsid w:val="00140E7A"/>
    <w:rsid w:val="001621CF"/>
    <w:rsid w:val="002231EE"/>
    <w:rsid w:val="00244CD6"/>
    <w:rsid w:val="002607F8"/>
    <w:rsid w:val="00263359"/>
    <w:rsid w:val="00294ED6"/>
    <w:rsid w:val="002B4216"/>
    <w:rsid w:val="002C1F67"/>
    <w:rsid w:val="003A5712"/>
    <w:rsid w:val="003F49AC"/>
    <w:rsid w:val="00464331"/>
    <w:rsid w:val="004B01D7"/>
    <w:rsid w:val="004B51E6"/>
    <w:rsid w:val="004E47A2"/>
    <w:rsid w:val="004F2A6C"/>
    <w:rsid w:val="005461A3"/>
    <w:rsid w:val="005635D9"/>
    <w:rsid w:val="005652E5"/>
    <w:rsid w:val="005B4B34"/>
    <w:rsid w:val="005E22BC"/>
    <w:rsid w:val="00621D1F"/>
    <w:rsid w:val="00671A11"/>
    <w:rsid w:val="00680937"/>
    <w:rsid w:val="00750918"/>
    <w:rsid w:val="0079026E"/>
    <w:rsid w:val="007A136A"/>
    <w:rsid w:val="007C50B7"/>
    <w:rsid w:val="007D73FE"/>
    <w:rsid w:val="00800E96"/>
    <w:rsid w:val="00813556"/>
    <w:rsid w:val="00844BC6"/>
    <w:rsid w:val="00886984"/>
    <w:rsid w:val="008A2BC3"/>
    <w:rsid w:val="008E207F"/>
    <w:rsid w:val="008F715F"/>
    <w:rsid w:val="00914AF7"/>
    <w:rsid w:val="00984E54"/>
    <w:rsid w:val="00A00A87"/>
    <w:rsid w:val="00A17B33"/>
    <w:rsid w:val="00A50CDF"/>
    <w:rsid w:val="00A90CAE"/>
    <w:rsid w:val="00A92598"/>
    <w:rsid w:val="00AC4273"/>
    <w:rsid w:val="00AC6911"/>
    <w:rsid w:val="00AE0E4B"/>
    <w:rsid w:val="00B27B7F"/>
    <w:rsid w:val="00B5598D"/>
    <w:rsid w:val="00B66D9C"/>
    <w:rsid w:val="00B82503"/>
    <w:rsid w:val="00BA065D"/>
    <w:rsid w:val="00C02F34"/>
    <w:rsid w:val="00C15BE7"/>
    <w:rsid w:val="00C177A6"/>
    <w:rsid w:val="00CA0D86"/>
    <w:rsid w:val="00CC2FDA"/>
    <w:rsid w:val="00CE2B43"/>
    <w:rsid w:val="00D744A7"/>
    <w:rsid w:val="00DC24CC"/>
    <w:rsid w:val="00E054EA"/>
    <w:rsid w:val="00E54F1E"/>
    <w:rsid w:val="00EA680A"/>
    <w:rsid w:val="00EB77E1"/>
    <w:rsid w:val="00EE3702"/>
    <w:rsid w:val="00F14F49"/>
    <w:rsid w:val="00F3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A7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4702">
      <w:bodyDiv w:val="1"/>
      <w:marLeft w:val="0"/>
      <w:marRight w:val="0"/>
      <w:marTop w:val="0"/>
      <w:marBottom w:val="0"/>
      <w:divBdr>
        <w:top w:val="none" w:sz="0" w:space="0" w:color="auto"/>
        <w:left w:val="none" w:sz="0" w:space="0" w:color="auto"/>
        <w:bottom w:val="none" w:sz="0" w:space="0" w:color="auto"/>
        <w:right w:val="none" w:sz="0" w:space="0" w:color="auto"/>
      </w:divBdr>
    </w:div>
    <w:div w:id="335765775">
      <w:bodyDiv w:val="1"/>
      <w:marLeft w:val="0"/>
      <w:marRight w:val="0"/>
      <w:marTop w:val="0"/>
      <w:marBottom w:val="0"/>
      <w:divBdr>
        <w:top w:val="none" w:sz="0" w:space="0" w:color="auto"/>
        <w:left w:val="none" w:sz="0" w:space="0" w:color="auto"/>
        <w:bottom w:val="none" w:sz="0" w:space="0" w:color="auto"/>
        <w:right w:val="none" w:sz="0" w:space="0" w:color="auto"/>
      </w:divBdr>
    </w:div>
    <w:div w:id="374041902">
      <w:bodyDiv w:val="1"/>
      <w:marLeft w:val="0"/>
      <w:marRight w:val="0"/>
      <w:marTop w:val="0"/>
      <w:marBottom w:val="0"/>
      <w:divBdr>
        <w:top w:val="none" w:sz="0" w:space="0" w:color="auto"/>
        <w:left w:val="none" w:sz="0" w:space="0" w:color="auto"/>
        <w:bottom w:val="none" w:sz="0" w:space="0" w:color="auto"/>
        <w:right w:val="none" w:sz="0" w:space="0" w:color="auto"/>
      </w:divBdr>
    </w:div>
    <w:div w:id="382406011">
      <w:bodyDiv w:val="1"/>
      <w:marLeft w:val="0"/>
      <w:marRight w:val="0"/>
      <w:marTop w:val="0"/>
      <w:marBottom w:val="0"/>
      <w:divBdr>
        <w:top w:val="none" w:sz="0" w:space="0" w:color="auto"/>
        <w:left w:val="none" w:sz="0" w:space="0" w:color="auto"/>
        <w:bottom w:val="none" w:sz="0" w:space="0" w:color="auto"/>
        <w:right w:val="none" w:sz="0" w:space="0" w:color="auto"/>
      </w:divBdr>
    </w:div>
    <w:div w:id="613438176">
      <w:bodyDiv w:val="1"/>
      <w:marLeft w:val="0"/>
      <w:marRight w:val="0"/>
      <w:marTop w:val="0"/>
      <w:marBottom w:val="0"/>
      <w:divBdr>
        <w:top w:val="none" w:sz="0" w:space="0" w:color="auto"/>
        <w:left w:val="none" w:sz="0" w:space="0" w:color="auto"/>
        <w:bottom w:val="none" w:sz="0" w:space="0" w:color="auto"/>
        <w:right w:val="none" w:sz="0" w:space="0" w:color="auto"/>
      </w:divBdr>
    </w:div>
    <w:div w:id="783503447">
      <w:bodyDiv w:val="1"/>
      <w:marLeft w:val="0"/>
      <w:marRight w:val="0"/>
      <w:marTop w:val="0"/>
      <w:marBottom w:val="0"/>
      <w:divBdr>
        <w:top w:val="none" w:sz="0" w:space="0" w:color="auto"/>
        <w:left w:val="none" w:sz="0" w:space="0" w:color="auto"/>
        <w:bottom w:val="none" w:sz="0" w:space="0" w:color="auto"/>
        <w:right w:val="none" w:sz="0" w:space="0" w:color="auto"/>
      </w:divBdr>
    </w:div>
    <w:div w:id="868372563">
      <w:bodyDiv w:val="1"/>
      <w:marLeft w:val="0"/>
      <w:marRight w:val="0"/>
      <w:marTop w:val="0"/>
      <w:marBottom w:val="0"/>
      <w:divBdr>
        <w:top w:val="none" w:sz="0" w:space="0" w:color="auto"/>
        <w:left w:val="none" w:sz="0" w:space="0" w:color="auto"/>
        <w:bottom w:val="none" w:sz="0" w:space="0" w:color="auto"/>
        <w:right w:val="none" w:sz="0" w:space="0" w:color="auto"/>
      </w:divBdr>
    </w:div>
    <w:div w:id="1085415045">
      <w:bodyDiv w:val="1"/>
      <w:marLeft w:val="0"/>
      <w:marRight w:val="0"/>
      <w:marTop w:val="0"/>
      <w:marBottom w:val="0"/>
      <w:divBdr>
        <w:top w:val="none" w:sz="0" w:space="0" w:color="auto"/>
        <w:left w:val="none" w:sz="0" w:space="0" w:color="auto"/>
        <w:bottom w:val="none" w:sz="0" w:space="0" w:color="auto"/>
        <w:right w:val="none" w:sz="0" w:space="0" w:color="auto"/>
      </w:divBdr>
    </w:div>
    <w:div w:id="1125807064">
      <w:bodyDiv w:val="1"/>
      <w:marLeft w:val="0"/>
      <w:marRight w:val="0"/>
      <w:marTop w:val="0"/>
      <w:marBottom w:val="0"/>
      <w:divBdr>
        <w:top w:val="none" w:sz="0" w:space="0" w:color="auto"/>
        <w:left w:val="none" w:sz="0" w:space="0" w:color="auto"/>
        <w:bottom w:val="none" w:sz="0" w:space="0" w:color="auto"/>
        <w:right w:val="none" w:sz="0" w:space="0" w:color="auto"/>
      </w:divBdr>
    </w:div>
    <w:div w:id="1318220637">
      <w:bodyDiv w:val="1"/>
      <w:marLeft w:val="0"/>
      <w:marRight w:val="0"/>
      <w:marTop w:val="0"/>
      <w:marBottom w:val="0"/>
      <w:divBdr>
        <w:top w:val="none" w:sz="0" w:space="0" w:color="auto"/>
        <w:left w:val="none" w:sz="0" w:space="0" w:color="auto"/>
        <w:bottom w:val="none" w:sz="0" w:space="0" w:color="auto"/>
        <w:right w:val="none" w:sz="0" w:space="0" w:color="auto"/>
      </w:divBdr>
    </w:div>
    <w:div w:id="1376931850">
      <w:bodyDiv w:val="1"/>
      <w:marLeft w:val="0"/>
      <w:marRight w:val="0"/>
      <w:marTop w:val="0"/>
      <w:marBottom w:val="0"/>
      <w:divBdr>
        <w:top w:val="none" w:sz="0" w:space="0" w:color="auto"/>
        <w:left w:val="none" w:sz="0" w:space="0" w:color="auto"/>
        <w:bottom w:val="none" w:sz="0" w:space="0" w:color="auto"/>
        <w:right w:val="none" w:sz="0" w:space="0" w:color="auto"/>
      </w:divBdr>
      <w:divsChild>
        <w:div w:id="1409687947">
          <w:marLeft w:val="0"/>
          <w:marRight w:val="0"/>
          <w:marTop w:val="0"/>
          <w:marBottom w:val="0"/>
          <w:divBdr>
            <w:top w:val="none" w:sz="0" w:space="0" w:color="auto"/>
            <w:left w:val="none" w:sz="0" w:space="0" w:color="auto"/>
            <w:bottom w:val="none" w:sz="0" w:space="0" w:color="auto"/>
            <w:right w:val="none" w:sz="0" w:space="0" w:color="auto"/>
          </w:divBdr>
        </w:div>
        <w:div w:id="1544367747">
          <w:marLeft w:val="0"/>
          <w:marRight w:val="0"/>
          <w:marTop w:val="0"/>
          <w:marBottom w:val="0"/>
          <w:divBdr>
            <w:top w:val="none" w:sz="0" w:space="0" w:color="auto"/>
            <w:left w:val="none" w:sz="0" w:space="0" w:color="auto"/>
            <w:bottom w:val="none" w:sz="0" w:space="0" w:color="auto"/>
            <w:right w:val="none" w:sz="0" w:space="0" w:color="auto"/>
          </w:divBdr>
          <w:divsChild>
            <w:div w:id="1338268127">
              <w:marLeft w:val="0"/>
              <w:marRight w:val="0"/>
              <w:marTop w:val="0"/>
              <w:marBottom w:val="0"/>
              <w:divBdr>
                <w:top w:val="none" w:sz="0" w:space="0" w:color="auto"/>
                <w:left w:val="none" w:sz="0" w:space="0" w:color="auto"/>
                <w:bottom w:val="none" w:sz="0" w:space="0" w:color="auto"/>
                <w:right w:val="none" w:sz="0" w:space="0" w:color="auto"/>
              </w:divBdr>
            </w:div>
          </w:divsChild>
        </w:div>
        <w:div w:id="1824271098">
          <w:marLeft w:val="0"/>
          <w:marRight w:val="0"/>
          <w:marTop w:val="0"/>
          <w:marBottom w:val="0"/>
          <w:divBdr>
            <w:top w:val="none" w:sz="0" w:space="0" w:color="auto"/>
            <w:left w:val="none" w:sz="0" w:space="0" w:color="auto"/>
            <w:bottom w:val="none" w:sz="0" w:space="0" w:color="auto"/>
            <w:right w:val="none" w:sz="0" w:space="0" w:color="auto"/>
          </w:divBdr>
          <w:divsChild>
            <w:div w:id="676423641">
              <w:marLeft w:val="0"/>
              <w:marRight w:val="0"/>
              <w:marTop w:val="0"/>
              <w:marBottom w:val="0"/>
              <w:divBdr>
                <w:top w:val="none" w:sz="0" w:space="0" w:color="auto"/>
                <w:left w:val="none" w:sz="0" w:space="0" w:color="auto"/>
                <w:bottom w:val="none" w:sz="0" w:space="0" w:color="auto"/>
                <w:right w:val="none" w:sz="0" w:space="0" w:color="auto"/>
              </w:divBdr>
            </w:div>
            <w:div w:id="171652312">
              <w:marLeft w:val="0"/>
              <w:marRight w:val="0"/>
              <w:marTop w:val="0"/>
              <w:marBottom w:val="0"/>
              <w:divBdr>
                <w:top w:val="none" w:sz="0" w:space="0" w:color="auto"/>
                <w:left w:val="none" w:sz="0" w:space="0" w:color="auto"/>
                <w:bottom w:val="none" w:sz="0" w:space="0" w:color="auto"/>
                <w:right w:val="none" w:sz="0" w:space="0" w:color="auto"/>
              </w:divBdr>
              <w:divsChild>
                <w:div w:id="1487744230">
                  <w:marLeft w:val="0"/>
                  <w:marRight w:val="0"/>
                  <w:marTop w:val="0"/>
                  <w:marBottom w:val="0"/>
                  <w:divBdr>
                    <w:top w:val="none" w:sz="0" w:space="0" w:color="auto"/>
                    <w:left w:val="none" w:sz="0" w:space="0" w:color="auto"/>
                    <w:bottom w:val="none" w:sz="0" w:space="0" w:color="auto"/>
                    <w:right w:val="none" w:sz="0" w:space="0" w:color="auto"/>
                  </w:divBdr>
                  <w:divsChild>
                    <w:div w:id="1065834207">
                      <w:marLeft w:val="0"/>
                      <w:marRight w:val="0"/>
                      <w:marTop w:val="0"/>
                      <w:marBottom w:val="0"/>
                      <w:divBdr>
                        <w:top w:val="none" w:sz="0" w:space="0" w:color="auto"/>
                        <w:left w:val="none" w:sz="0" w:space="0" w:color="auto"/>
                        <w:bottom w:val="none" w:sz="0" w:space="0" w:color="auto"/>
                        <w:right w:val="none" w:sz="0" w:space="0" w:color="auto"/>
                      </w:divBdr>
                      <w:divsChild>
                        <w:div w:id="15885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90597">
      <w:bodyDiv w:val="1"/>
      <w:marLeft w:val="0"/>
      <w:marRight w:val="0"/>
      <w:marTop w:val="0"/>
      <w:marBottom w:val="0"/>
      <w:divBdr>
        <w:top w:val="none" w:sz="0" w:space="0" w:color="auto"/>
        <w:left w:val="none" w:sz="0" w:space="0" w:color="auto"/>
        <w:bottom w:val="none" w:sz="0" w:space="0" w:color="auto"/>
        <w:right w:val="none" w:sz="0" w:space="0" w:color="auto"/>
      </w:divBdr>
    </w:div>
    <w:div w:id="1868759363">
      <w:bodyDiv w:val="1"/>
      <w:marLeft w:val="0"/>
      <w:marRight w:val="0"/>
      <w:marTop w:val="0"/>
      <w:marBottom w:val="0"/>
      <w:divBdr>
        <w:top w:val="none" w:sz="0" w:space="0" w:color="auto"/>
        <w:left w:val="none" w:sz="0" w:space="0" w:color="auto"/>
        <w:bottom w:val="none" w:sz="0" w:space="0" w:color="auto"/>
        <w:right w:val="none" w:sz="0" w:space="0" w:color="auto"/>
      </w:divBdr>
    </w:div>
    <w:div w:id="1998537181">
      <w:bodyDiv w:val="1"/>
      <w:marLeft w:val="0"/>
      <w:marRight w:val="0"/>
      <w:marTop w:val="0"/>
      <w:marBottom w:val="0"/>
      <w:divBdr>
        <w:top w:val="none" w:sz="0" w:space="0" w:color="auto"/>
        <w:left w:val="none" w:sz="0" w:space="0" w:color="auto"/>
        <w:bottom w:val="none" w:sz="0" w:space="0" w:color="auto"/>
        <w:right w:val="none" w:sz="0" w:space="0" w:color="auto"/>
      </w:divBdr>
    </w:div>
    <w:div w:id="2133549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DRING</dc:creator>
  <cp:keywords/>
  <dc:description/>
  <cp:lastModifiedBy>Dragan, Lia Maria</cp:lastModifiedBy>
  <cp:revision>2</cp:revision>
  <dcterms:created xsi:type="dcterms:W3CDTF">2018-01-16T19:45:00Z</dcterms:created>
  <dcterms:modified xsi:type="dcterms:W3CDTF">2018-01-16T19:45:00Z</dcterms:modified>
</cp:coreProperties>
</file>