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DB0" w:rsidRPr="00197AB2" w:rsidRDefault="007C0DB0" w:rsidP="00197AB2">
      <w:pPr>
        <w:spacing w:after="0"/>
        <w:jc w:val="center"/>
        <w:rPr>
          <w:rFonts w:cs="Arial"/>
          <w:b/>
          <w:sz w:val="24"/>
          <w:szCs w:val="24"/>
        </w:rPr>
      </w:pPr>
      <w:r w:rsidRPr="00197AB2">
        <w:rPr>
          <w:rFonts w:cs="Arial"/>
          <w:b/>
          <w:sz w:val="24"/>
          <w:szCs w:val="24"/>
        </w:rPr>
        <w:t>Major LFS Departmental Awards</w:t>
      </w:r>
    </w:p>
    <w:p w:rsidR="007C0DB0" w:rsidRPr="00197AB2" w:rsidRDefault="007C0DB0" w:rsidP="007C0DB0">
      <w:pPr>
        <w:spacing w:after="0"/>
        <w:jc w:val="center"/>
        <w:rPr>
          <w:rFonts w:cs="Arial"/>
          <w:b/>
          <w:sz w:val="24"/>
          <w:szCs w:val="24"/>
        </w:rPr>
      </w:pPr>
      <w:r w:rsidRPr="00197AB2">
        <w:rPr>
          <w:rFonts w:cs="Arial"/>
          <w:b/>
          <w:sz w:val="24"/>
          <w:szCs w:val="24"/>
        </w:rPr>
        <w:t>Application Instructions</w:t>
      </w:r>
    </w:p>
    <w:p w:rsidR="007C0DB0" w:rsidRPr="00197AB2" w:rsidRDefault="007C0DB0" w:rsidP="007C0DB0">
      <w:pPr>
        <w:spacing w:after="0"/>
        <w:jc w:val="center"/>
        <w:rPr>
          <w:rFonts w:cs="Arial"/>
          <w:b/>
          <w:sz w:val="24"/>
          <w:szCs w:val="24"/>
        </w:rPr>
      </w:pPr>
      <w:r w:rsidRPr="00197AB2">
        <w:rPr>
          <w:rFonts w:cs="Arial"/>
          <w:b/>
          <w:sz w:val="24"/>
          <w:szCs w:val="24"/>
        </w:rPr>
        <w:t>2021-2022</w:t>
      </w:r>
    </w:p>
    <w:p w:rsidR="007C0DB0" w:rsidRPr="007C0DB0" w:rsidRDefault="007C0DB0" w:rsidP="007C0DB0">
      <w:pPr>
        <w:spacing w:after="0"/>
        <w:jc w:val="center"/>
        <w:rPr>
          <w:rFonts w:cs="Arial"/>
          <w:b/>
        </w:rPr>
      </w:pPr>
    </w:p>
    <w:p w:rsidR="00197AB2" w:rsidRPr="00197AB2" w:rsidRDefault="00197AB2" w:rsidP="00197AB2">
      <w:pPr>
        <w:spacing w:after="0"/>
        <w:rPr>
          <w:rFonts w:cs="Arial"/>
        </w:rPr>
      </w:pPr>
    </w:p>
    <w:p w:rsidR="00197AB2" w:rsidRPr="00197AB2" w:rsidRDefault="00197AB2" w:rsidP="00197AB2">
      <w:pPr>
        <w:spacing w:after="0"/>
        <w:rPr>
          <w:rFonts w:cs="Arial"/>
        </w:rPr>
      </w:pPr>
    </w:p>
    <w:p w:rsidR="007C0DB0" w:rsidRPr="00197AB2" w:rsidRDefault="007C0DB0" w:rsidP="007C0DB0">
      <w:pPr>
        <w:pStyle w:val="ListParagraph"/>
        <w:numPr>
          <w:ilvl w:val="0"/>
          <w:numId w:val="2"/>
        </w:numPr>
        <w:spacing w:after="0"/>
        <w:rPr>
          <w:rFonts w:ascii="Arial" w:hAnsi="Arial" w:cs="Arial"/>
        </w:rPr>
      </w:pPr>
      <w:r w:rsidRPr="00197AB2">
        <w:rPr>
          <w:rFonts w:ascii="Arial" w:hAnsi="Arial" w:cs="Arial"/>
        </w:rPr>
        <w:t>Academic merit-based fellowships</w:t>
      </w:r>
    </w:p>
    <w:p w:rsidR="007C0DB0" w:rsidRPr="00197AB2" w:rsidRDefault="007C0DB0" w:rsidP="007C0DB0">
      <w:pPr>
        <w:pStyle w:val="ListParagraph"/>
        <w:numPr>
          <w:ilvl w:val="0"/>
          <w:numId w:val="2"/>
        </w:numPr>
        <w:spacing w:after="0"/>
        <w:rPr>
          <w:rFonts w:ascii="Arial" w:hAnsi="Arial" w:cs="Arial"/>
        </w:rPr>
      </w:pPr>
      <w:r w:rsidRPr="00197AB2">
        <w:rPr>
          <w:rFonts w:ascii="Arial" w:hAnsi="Arial" w:cs="Arial"/>
        </w:rPr>
        <w:t xml:space="preserve">Available only for </w:t>
      </w:r>
      <w:r w:rsidRPr="00197AB2">
        <w:rPr>
          <w:rFonts w:ascii="Arial" w:hAnsi="Arial" w:cs="Arial"/>
          <w:b/>
        </w:rPr>
        <w:t>full-time students registered in research-based (thesis) programs</w:t>
      </w:r>
    </w:p>
    <w:p w:rsidR="007C0DB0" w:rsidRPr="00197AB2" w:rsidRDefault="007C0DB0" w:rsidP="007C0DB0">
      <w:pPr>
        <w:spacing w:after="0"/>
        <w:rPr>
          <w:rFonts w:cs="Arial"/>
          <w:sz w:val="22"/>
          <w:szCs w:val="22"/>
        </w:rPr>
      </w:pPr>
    </w:p>
    <w:p w:rsidR="00197AB2" w:rsidRPr="00197AB2" w:rsidRDefault="00197AB2" w:rsidP="007C0DB0">
      <w:pPr>
        <w:spacing w:after="0"/>
        <w:rPr>
          <w:rFonts w:cs="Arial"/>
          <w:b/>
          <w:sz w:val="22"/>
          <w:szCs w:val="22"/>
        </w:rPr>
      </w:pPr>
    </w:p>
    <w:p w:rsidR="007C0DB0" w:rsidRPr="00197AB2" w:rsidRDefault="007C0DB0" w:rsidP="007C0DB0">
      <w:pPr>
        <w:spacing w:after="0"/>
        <w:rPr>
          <w:rFonts w:cs="Arial"/>
          <w:b/>
          <w:sz w:val="22"/>
          <w:szCs w:val="22"/>
        </w:rPr>
      </w:pPr>
      <w:r w:rsidRPr="00197AB2">
        <w:rPr>
          <w:rFonts w:cs="Arial"/>
          <w:b/>
          <w:sz w:val="22"/>
          <w:szCs w:val="22"/>
        </w:rPr>
        <w:t>Eligibility:</w:t>
      </w:r>
    </w:p>
    <w:p w:rsidR="007C0DB0" w:rsidRPr="00197AB2" w:rsidRDefault="007C0DB0" w:rsidP="007C0DB0">
      <w:pPr>
        <w:numPr>
          <w:ilvl w:val="0"/>
          <w:numId w:val="1"/>
        </w:numPr>
        <w:overflowPunct w:val="0"/>
        <w:autoSpaceDE w:val="0"/>
        <w:autoSpaceDN w:val="0"/>
        <w:adjustRightInd w:val="0"/>
        <w:spacing w:after="0"/>
        <w:ind w:right="144"/>
        <w:textAlignment w:val="baseline"/>
        <w:rPr>
          <w:rFonts w:eastAsia="Times New Roman" w:cs="Arial"/>
          <w:sz w:val="22"/>
          <w:szCs w:val="22"/>
          <w:lang w:val="en-CA"/>
        </w:rPr>
      </w:pPr>
      <w:r w:rsidRPr="00197AB2">
        <w:rPr>
          <w:rFonts w:eastAsia="Times New Roman" w:cs="Arial"/>
          <w:sz w:val="22"/>
          <w:szCs w:val="22"/>
          <w:lang w:val="en-CA"/>
        </w:rPr>
        <w:t>No citizenship restrictions unless otherwise noted</w:t>
      </w:r>
      <w:r w:rsidRPr="00197AB2">
        <w:rPr>
          <w:rFonts w:eastAsia="Times New Roman" w:cs="Arial"/>
          <w:i/>
          <w:sz w:val="22"/>
          <w:szCs w:val="22"/>
          <w:lang w:val="en-CA"/>
        </w:rPr>
        <w:t>.</w:t>
      </w:r>
    </w:p>
    <w:p w:rsidR="007C0DB0" w:rsidRPr="00197AB2" w:rsidRDefault="007C0DB0" w:rsidP="007C0DB0">
      <w:pPr>
        <w:numPr>
          <w:ilvl w:val="0"/>
          <w:numId w:val="1"/>
        </w:numPr>
        <w:overflowPunct w:val="0"/>
        <w:autoSpaceDE w:val="0"/>
        <w:autoSpaceDN w:val="0"/>
        <w:adjustRightInd w:val="0"/>
        <w:spacing w:after="0"/>
        <w:ind w:right="144"/>
        <w:textAlignment w:val="baseline"/>
        <w:rPr>
          <w:rFonts w:eastAsia="Times New Roman" w:cs="Arial"/>
          <w:sz w:val="22"/>
          <w:szCs w:val="22"/>
          <w:lang w:val="en-CA"/>
        </w:rPr>
      </w:pPr>
      <w:r w:rsidRPr="00197AB2">
        <w:rPr>
          <w:rFonts w:eastAsia="Times New Roman" w:cs="Arial"/>
          <w:sz w:val="22"/>
          <w:szCs w:val="22"/>
          <w:lang w:val="en-CA"/>
        </w:rPr>
        <w:t>Students need one (1) reference letter from academic referees to support their application.</w:t>
      </w:r>
    </w:p>
    <w:p w:rsidR="007C0DB0" w:rsidRPr="00197AB2" w:rsidRDefault="007C0DB0" w:rsidP="007C0DB0">
      <w:pPr>
        <w:numPr>
          <w:ilvl w:val="0"/>
          <w:numId w:val="1"/>
        </w:numPr>
        <w:overflowPunct w:val="0"/>
        <w:autoSpaceDE w:val="0"/>
        <w:autoSpaceDN w:val="0"/>
        <w:adjustRightInd w:val="0"/>
        <w:spacing w:after="0"/>
        <w:ind w:right="144"/>
        <w:textAlignment w:val="baseline"/>
        <w:rPr>
          <w:rFonts w:eastAsia="Times New Roman" w:cs="Arial"/>
          <w:sz w:val="22"/>
          <w:szCs w:val="22"/>
          <w:lang w:val="en-CA"/>
        </w:rPr>
      </w:pPr>
      <w:r w:rsidRPr="00197AB2">
        <w:rPr>
          <w:rFonts w:eastAsia="Times New Roman" w:cs="Arial"/>
          <w:sz w:val="22"/>
          <w:szCs w:val="22"/>
          <w:lang w:val="en-CA"/>
        </w:rPr>
        <w:t>Other factors considered during the selection process include those scoring criteria listed in Appendix II.</w:t>
      </w:r>
    </w:p>
    <w:p w:rsidR="007C0DB0" w:rsidRPr="00197AB2" w:rsidRDefault="007C0DB0" w:rsidP="007C0DB0">
      <w:pPr>
        <w:overflowPunct w:val="0"/>
        <w:autoSpaceDE w:val="0"/>
        <w:autoSpaceDN w:val="0"/>
        <w:adjustRightInd w:val="0"/>
        <w:spacing w:after="0"/>
        <w:ind w:left="720" w:right="144"/>
        <w:textAlignment w:val="baseline"/>
        <w:rPr>
          <w:rFonts w:eastAsia="Times New Roman" w:cs="Arial"/>
          <w:sz w:val="22"/>
          <w:szCs w:val="22"/>
          <w:lang w:val="en-CA"/>
        </w:rPr>
      </w:pPr>
    </w:p>
    <w:p w:rsidR="00197AB2" w:rsidRPr="00197AB2" w:rsidRDefault="00197AB2" w:rsidP="007C0DB0">
      <w:pPr>
        <w:overflowPunct w:val="0"/>
        <w:autoSpaceDE w:val="0"/>
        <w:autoSpaceDN w:val="0"/>
        <w:adjustRightInd w:val="0"/>
        <w:spacing w:after="0"/>
        <w:ind w:right="144"/>
        <w:textAlignment w:val="baseline"/>
        <w:rPr>
          <w:rFonts w:eastAsia="Times New Roman" w:cs="Arial"/>
          <w:b/>
          <w:sz w:val="22"/>
          <w:szCs w:val="22"/>
          <w:lang w:val="en-CA"/>
        </w:rPr>
      </w:pPr>
    </w:p>
    <w:p w:rsidR="007C0DB0" w:rsidRPr="00197AB2" w:rsidRDefault="007C0DB0" w:rsidP="007C0DB0">
      <w:pPr>
        <w:overflowPunct w:val="0"/>
        <w:autoSpaceDE w:val="0"/>
        <w:autoSpaceDN w:val="0"/>
        <w:adjustRightInd w:val="0"/>
        <w:spacing w:after="0"/>
        <w:ind w:right="144"/>
        <w:textAlignment w:val="baseline"/>
        <w:rPr>
          <w:rFonts w:eastAsia="Times New Roman" w:cs="Arial"/>
          <w:b/>
          <w:sz w:val="22"/>
          <w:szCs w:val="22"/>
          <w:lang w:val="en-CA"/>
        </w:rPr>
      </w:pPr>
      <w:r w:rsidRPr="00197AB2">
        <w:rPr>
          <w:rFonts w:eastAsia="Times New Roman" w:cs="Arial"/>
          <w:b/>
          <w:sz w:val="22"/>
          <w:szCs w:val="22"/>
          <w:lang w:val="en-CA"/>
        </w:rPr>
        <w:t>Eligible Years of Funding</w:t>
      </w:r>
    </w:p>
    <w:p w:rsidR="007C0DB0" w:rsidRPr="00197AB2" w:rsidRDefault="007C0DB0" w:rsidP="007C0DB0">
      <w:pPr>
        <w:overflowPunct w:val="0"/>
        <w:autoSpaceDE w:val="0"/>
        <w:autoSpaceDN w:val="0"/>
        <w:adjustRightInd w:val="0"/>
        <w:spacing w:after="0"/>
        <w:ind w:right="144"/>
        <w:textAlignment w:val="baseline"/>
        <w:rPr>
          <w:rFonts w:eastAsia="Times New Roman" w:cs="Arial"/>
          <w:b/>
          <w:sz w:val="22"/>
          <w:szCs w:val="22"/>
          <w:lang w:val="en-CA"/>
        </w:rPr>
      </w:pPr>
    </w:p>
    <w:p w:rsidR="007C0DB0" w:rsidRPr="00197AB2" w:rsidRDefault="007C0DB0" w:rsidP="007C0DB0">
      <w:pPr>
        <w:spacing w:after="0"/>
        <w:rPr>
          <w:rFonts w:eastAsia="Times New Roman" w:cs="Arial"/>
          <w:sz w:val="22"/>
          <w:szCs w:val="22"/>
          <w:lang w:val="en-CA" w:eastAsia="en-CA"/>
        </w:rPr>
      </w:pPr>
      <w:r w:rsidRPr="00197AB2">
        <w:rPr>
          <w:rFonts w:eastAsia="Times New Roman" w:cs="Arial"/>
          <w:b/>
          <w:sz w:val="22"/>
          <w:szCs w:val="22"/>
          <w:u w:val="single"/>
          <w:lang w:val="en-CA" w:eastAsia="en-CA"/>
        </w:rPr>
        <w:t>Master's level funding</w:t>
      </w:r>
      <w:r w:rsidRPr="00197AB2">
        <w:rPr>
          <w:rFonts w:eastAsia="Times New Roman" w:cs="Arial"/>
          <w:b/>
          <w:sz w:val="22"/>
          <w:szCs w:val="22"/>
          <w:u w:val="single"/>
          <w:lang w:val="en-CA" w:eastAsia="en-CA"/>
        </w:rPr>
        <w:br/>
      </w:r>
      <w:r w:rsidRPr="00197AB2">
        <w:rPr>
          <w:rFonts w:eastAsia="Times New Roman" w:cs="Arial"/>
          <w:sz w:val="22"/>
          <w:szCs w:val="22"/>
          <w:lang w:val="en-CA" w:eastAsia="en-CA"/>
        </w:rPr>
        <w:t xml:space="preserve">Master’s students are eligible to receive funding during the first 24 months of full-time enrolment at the graduate level. </w:t>
      </w:r>
    </w:p>
    <w:p w:rsidR="007C0DB0" w:rsidRPr="00197AB2" w:rsidRDefault="007C0DB0" w:rsidP="007C0DB0">
      <w:pPr>
        <w:spacing w:after="0"/>
        <w:rPr>
          <w:rFonts w:eastAsia="Times New Roman" w:cs="Arial"/>
          <w:b/>
          <w:sz w:val="22"/>
          <w:szCs w:val="22"/>
          <w:u w:val="single"/>
          <w:lang w:val="en-CA" w:eastAsia="en-CA"/>
        </w:rPr>
      </w:pPr>
    </w:p>
    <w:p w:rsidR="007C0DB0" w:rsidRPr="00197AB2" w:rsidRDefault="007C0DB0" w:rsidP="007C0DB0">
      <w:pPr>
        <w:spacing w:after="0"/>
        <w:rPr>
          <w:rFonts w:eastAsia="Times New Roman" w:cs="Arial"/>
          <w:b/>
          <w:sz w:val="22"/>
          <w:szCs w:val="22"/>
          <w:u w:val="single"/>
          <w:lang w:val="en-CA" w:eastAsia="en-CA"/>
        </w:rPr>
      </w:pPr>
      <w:r w:rsidRPr="00197AB2">
        <w:rPr>
          <w:rFonts w:eastAsia="Times New Roman" w:cs="Arial"/>
          <w:b/>
          <w:sz w:val="22"/>
          <w:szCs w:val="22"/>
          <w:u w:val="single"/>
          <w:lang w:val="en-CA" w:eastAsia="en-CA"/>
        </w:rPr>
        <w:t>Doctoral level funding</w:t>
      </w:r>
    </w:p>
    <w:p w:rsidR="007C0DB0" w:rsidRPr="00197AB2" w:rsidRDefault="007C0DB0" w:rsidP="007C0DB0">
      <w:pPr>
        <w:pStyle w:val="ListParagraph"/>
        <w:numPr>
          <w:ilvl w:val="0"/>
          <w:numId w:val="4"/>
        </w:numPr>
        <w:spacing w:after="0" w:line="240" w:lineRule="auto"/>
        <w:rPr>
          <w:rFonts w:ascii="Arial" w:eastAsia="Times New Roman" w:hAnsi="Arial" w:cs="Arial"/>
          <w:lang w:val="en-CA" w:eastAsia="en-CA"/>
        </w:rPr>
      </w:pPr>
      <w:r w:rsidRPr="00197AB2">
        <w:rPr>
          <w:rFonts w:ascii="Arial" w:eastAsia="Times New Roman" w:hAnsi="Arial" w:cs="Arial"/>
          <w:lang w:val="en-CA" w:eastAsia="en-CA"/>
        </w:rPr>
        <w:t>PhD students are eligible to receive funding during the first 48 months of full-time enrolment.</w:t>
      </w:r>
    </w:p>
    <w:p w:rsidR="007C0DB0" w:rsidRPr="00197AB2" w:rsidRDefault="007C0DB0" w:rsidP="007C0DB0">
      <w:pPr>
        <w:pStyle w:val="ListParagraph"/>
        <w:numPr>
          <w:ilvl w:val="0"/>
          <w:numId w:val="4"/>
        </w:numPr>
        <w:spacing w:after="0" w:line="240" w:lineRule="auto"/>
        <w:rPr>
          <w:rFonts w:ascii="Arial" w:eastAsia="Times New Roman" w:hAnsi="Arial" w:cs="Arial"/>
          <w:lang w:val="en-CA" w:eastAsia="en-CA"/>
        </w:rPr>
      </w:pPr>
      <w:r w:rsidRPr="00197AB2">
        <w:rPr>
          <w:rFonts w:ascii="Arial" w:eastAsia="Times New Roman" w:hAnsi="Arial" w:cs="Arial"/>
          <w:lang w:val="en-CA" w:eastAsia="en-CA"/>
        </w:rPr>
        <w:t xml:space="preserve">Students who proceed directly for a Bachelor's or equivalent program to a doctoral program are eligible to receive funding during the first 48 months of their PhD program. </w:t>
      </w:r>
    </w:p>
    <w:p w:rsidR="007C0DB0" w:rsidRPr="00197AB2" w:rsidRDefault="007C0DB0" w:rsidP="007C0DB0">
      <w:pPr>
        <w:pStyle w:val="ListParagraph"/>
        <w:numPr>
          <w:ilvl w:val="0"/>
          <w:numId w:val="4"/>
        </w:numPr>
        <w:spacing w:after="0" w:line="240" w:lineRule="auto"/>
        <w:rPr>
          <w:rFonts w:ascii="Arial" w:eastAsia="Times New Roman" w:hAnsi="Arial" w:cs="Arial"/>
          <w:lang w:val="en-CA" w:eastAsia="en-CA"/>
        </w:rPr>
      </w:pPr>
      <w:r w:rsidRPr="00197AB2">
        <w:rPr>
          <w:rFonts w:ascii="Arial" w:eastAsia="Times New Roman" w:hAnsi="Arial" w:cs="Arial"/>
          <w:lang w:val="en-CA" w:eastAsia="en-CA"/>
        </w:rPr>
        <w:t>Students transferring from a UBC Master's to a PhD program without completing the Masters:  consistent with UBC academic policies, the start of the PhD programs for these transfer students will be the date of first registration in the Master's program.  Hence, a student who transfers to a PhD after one year of Master's study will be eligible for the next three years.</w:t>
      </w:r>
    </w:p>
    <w:p w:rsidR="007C0DB0" w:rsidRPr="00197AB2" w:rsidRDefault="007C0DB0" w:rsidP="007C0DB0">
      <w:pPr>
        <w:spacing w:after="0"/>
        <w:rPr>
          <w:rFonts w:cs="Arial"/>
          <w:sz w:val="22"/>
          <w:szCs w:val="22"/>
        </w:rPr>
      </w:pPr>
    </w:p>
    <w:p w:rsidR="00197AB2" w:rsidRPr="00197AB2" w:rsidRDefault="00197AB2" w:rsidP="007C0DB0">
      <w:pPr>
        <w:spacing w:after="0"/>
        <w:rPr>
          <w:rFonts w:cs="Arial"/>
          <w:b/>
          <w:sz w:val="22"/>
          <w:szCs w:val="22"/>
          <w:u w:val="single"/>
        </w:rPr>
      </w:pPr>
    </w:p>
    <w:p w:rsidR="007C0DB0" w:rsidRPr="00197AB2" w:rsidRDefault="007C0DB0" w:rsidP="007C0DB0">
      <w:pPr>
        <w:spacing w:after="0"/>
        <w:rPr>
          <w:rFonts w:cs="Arial"/>
          <w:b/>
          <w:sz w:val="22"/>
          <w:szCs w:val="22"/>
          <w:u w:val="single"/>
        </w:rPr>
      </w:pPr>
      <w:r w:rsidRPr="00197AB2">
        <w:rPr>
          <w:rFonts w:cs="Arial"/>
          <w:b/>
          <w:sz w:val="22"/>
          <w:szCs w:val="22"/>
          <w:u w:val="single"/>
        </w:rPr>
        <w:t>Application Process</w:t>
      </w:r>
    </w:p>
    <w:p w:rsidR="007C0DB0" w:rsidRPr="00197AB2" w:rsidRDefault="007C0DB0" w:rsidP="007C0DB0">
      <w:pPr>
        <w:spacing w:after="0"/>
        <w:rPr>
          <w:rFonts w:cs="Arial"/>
          <w:sz w:val="22"/>
          <w:szCs w:val="22"/>
        </w:rPr>
      </w:pPr>
    </w:p>
    <w:p w:rsidR="007C0DB0" w:rsidRPr="00197AB2" w:rsidRDefault="007C0DB0" w:rsidP="007C0DB0">
      <w:pPr>
        <w:spacing w:after="0"/>
        <w:rPr>
          <w:rFonts w:cs="Arial"/>
          <w:b/>
          <w:sz w:val="22"/>
          <w:szCs w:val="22"/>
        </w:rPr>
      </w:pPr>
      <w:r w:rsidRPr="00197AB2">
        <w:rPr>
          <w:rFonts w:cs="Arial"/>
          <w:b/>
          <w:sz w:val="22"/>
          <w:szCs w:val="22"/>
        </w:rPr>
        <w:t>Student Responsibility</w:t>
      </w:r>
    </w:p>
    <w:p w:rsidR="007C0DB0" w:rsidRPr="00197AB2" w:rsidRDefault="007C0DB0" w:rsidP="007C0DB0">
      <w:pPr>
        <w:spacing w:after="0"/>
        <w:rPr>
          <w:rFonts w:cs="Arial"/>
          <w:b/>
          <w:sz w:val="22"/>
          <w:szCs w:val="22"/>
        </w:rPr>
      </w:pPr>
    </w:p>
    <w:p w:rsidR="006571BA" w:rsidRPr="00197AB2" w:rsidRDefault="006571BA" w:rsidP="007C0DB0">
      <w:pPr>
        <w:numPr>
          <w:ilvl w:val="0"/>
          <w:numId w:val="3"/>
        </w:numPr>
        <w:spacing w:after="0"/>
        <w:ind w:right="144"/>
        <w:rPr>
          <w:rFonts w:cs="Arial"/>
          <w:sz w:val="22"/>
          <w:szCs w:val="22"/>
        </w:rPr>
      </w:pPr>
      <w:r w:rsidRPr="00197AB2">
        <w:rPr>
          <w:rFonts w:cs="Arial"/>
          <w:b/>
          <w:sz w:val="22"/>
          <w:szCs w:val="22"/>
          <w:highlight w:val="yellow"/>
        </w:rPr>
        <w:t xml:space="preserve">Inform the G&amp;PS office via email addressed to </w:t>
      </w:r>
      <w:r w:rsidRPr="00197AB2">
        <w:rPr>
          <w:rFonts w:cs="Arial"/>
          <w:b/>
          <w:color w:val="FF0000"/>
          <w:sz w:val="22"/>
          <w:szCs w:val="22"/>
          <w:highlight w:val="yellow"/>
        </w:rPr>
        <w:t>lfs.gradasst@ubc.ca</w:t>
      </w:r>
      <w:r w:rsidRPr="00197AB2">
        <w:rPr>
          <w:rFonts w:cs="Arial"/>
          <w:b/>
          <w:sz w:val="22"/>
          <w:szCs w:val="22"/>
          <w:highlight w:val="yellow"/>
        </w:rPr>
        <w:t xml:space="preserve"> by June 30</w:t>
      </w:r>
      <w:r w:rsidRPr="00197AB2">
        <w:rPr>
          <w:rFonts w:cs="Arial"/>
          <w:sz w:val="22"/>
          <w:szCs w:val="22"/>
        </w:rPr>
        <w:t xml:space="preserve"> of your intention to submit a 2021-2022 LFS Major Awards Application.  This allows the office to prepare transcripts and contact students prior to application deadline in cases where documents may be missing, etc.  </w:t>
      </w:r>
    </w:p>
    <w:p w:rsidR="006571BA" w:rsidRPr="00197AB2" w:rsidRDefault="006571BA" w:rsidP="006571BA">
      <w:pPr>
        <w:spacing w:after="0"/>
        <w:ind w:right="144"/>
        <w:rPr>
          <w:rFonts w:cs="Arial"/>
          <w:sz w:val="22"/>
          <w:szCs w:val="22"/>
        </w:rPr>
      </w:pPr>
    </w:p>
    <w:p w:rsidR="007C0DB0" w:rsidRPr="00197AB2" w:rsidRDefault="007C0DB0" w:rsidP="007C0DB0">
      <w:pPr>
        <w:numPr>
          <w:ilvl w:val="0"/>
          <w:numId w:val="3"/>
        </w:numPr>
        <w:spacing w:after="0"/>
        <w:ind w:right="144"/>
        <w:rPr>
          <w:rFonts w:cs="Arial"/>
          <w:sz w:val="22"/>
          <w:szCs w:val="22"/>
        </w:rPr>
      </w:pPr>
      <w:r w:rsidRPr="00197AB2">
        <w:rPr>
          <w:rFonts w:cs="Arial"/>
          <w:sz w:val="22"/>
          <w:szCs w:val="22"/>
        </w:rPr>
        <w:t xml:space="preserve">Prepare </w:t>
      </w:r>
      <w:r w:rsidR="006571BA" w:rsidRPr="00197AB2">
        <w:rPr>
          <w:rFonts w:cs="Arial"/>
          <w:b/>
          <w:sz w:val="22"/>
          <w:szCs w:val="22"/>
        </w:rPr>
        <w:t>application</w:t>
      </w:r>
      <w:r w:rsidRPr="00197AB2">
        <w:rPr>
          <w:rFonts w:cs="Arial"/>
          <w:b/>
          <w:sz w:val="22"/>
          <w:szCs w:val="22"/>
        </w:rPr>
        <w:t>:</w:t>
      </w:r>
      <w:r w:rsidRPr="00197AB2">
        <w:rPr>
          <w:rFonts w:cs="Arial"/>
          <w:sz w:val="22"/>
          <w:szCs w:val="22"/>
        </w:rPr>
        <w:t xml:space="preserve">  No handwritten applications will be accepted.  </w:t>
      </w:r>
      <w:r w:rsidRPr="00197AB2">
        <w:rPr>
          <w:rFonts w:cs="Arial"/>
          <w:b/>
          <w:sz w:val="22"/>
          <w:szCs w:val="22"/>
        </w:rPr>
        <w:t>No CVs or resumes will be accepted</w:t>
      </w:r>
      <w:r w:rsidRPr="00197AB2">
        <w:rPr>
          <w:rFonts w:cs="Arial"/>
          <w:sz w:val="22"/>
          <w:szCs w:val="22"/>
        </w:rPr>
        <w:t xml:space="preserve">.  Email </w:t>
      </w:r>
      <w:r w:rsidR="006571BA" w:rsidRPr="00197AB2">
        <w:rPr>
          <w:rFonts w:cs="Arial"/>
          <w:sz w:val="22"/>
          <w:szCs w:val="22"/>
        </w:rPr>
        <w:t>completed application</w:t>
      </w:r>
      <w:r w:rsidRPr="00197AB2">
        <w:rPr>
          <w:rFonts w:cs="Arial"/>
          <w:sz w:val="22"/>
          <w:szCs w:val="22"/>
        </w:rPr>
        <w:t xml:space="preserve"> to </w:t>
      </w:r>
      <w:r w:rsidRPr="00197AB2">
        <w:rPr>
          <w:rFonts w:cs="Arial"/>
          <w:b/>
          <w:color w:val="FF0000"/>
          <w:sz w:val="22"/>
          <w:szCs w:val="22"/>
        </w:rPr>
        <w:t>lfs.gradasst@ubc.ca</w:t>
      </w:r>
      <w:r w:rsidRPr="00197AB2">
        <w:rPr>
          <w:rFonts w:cs="Arial"/>
          <w:color w:val="FF0000"/>
          <w:sz w:val="22"/>
          <w:szCs w:val="22"/>
        </w:rPr>
        <w:t xml:space="preserve"> </w:t>
      </w:r>
      <w:r w:rsidRPr="00197AB2">
        <w:rPr>
          <w:rFonts w:cs="Arial"/>
          <w:sz w:val="22"/>
          <w:szCs w:val="22"/>
        </w:rPr>
        <w:t xml:space="preserve">by the application deadline.  </w:t>
      </w:r>
      <w:r w:rsidRPr="00197AB2">
        <w:rPr>
          <w:rFonts w:cs="Arial"/>
          <w:b/>
          <w:sz w:val="22"/>
          <w:szCs w:val="22"/>
          <w:highlight w:val="yellow"/>
        </w:rPr>
        <w:t>LATE APPLICATIONS WILL NOT BE ACCEPTED – NO EXCEPTIONS</w:t>
      </w:r>
      <w:r w:rsidRPr="00197AB2">
        <w:rPr>
          <w:rFonts w:cs="Arial"/>
          <w:b/>
          <w:sz w:val="22"/>
          <w:szCs w:val="22"/>
        </w:rPr>
        <w:t>.</w:t>
      </w:r>
    </w:p>
    <w:p w:rsidR="007C0DB0" w:rsidRPr="00197AB2" w:rsidRDefault="007C0DB0" w:rsidP="007C0DB0">
      <w:pPr>
        <w:spacing w:after="0"/>
        <w:ind w:right="144"/>
        <w:rPr>
          <w:rFonts w:cs="Arial"/>
          <w:sz w:val="22"/>
          <w:szCs w:val="22"/>
        </w:rPr>
      </w:pPr>
    </w:p>
    <w:p w:rsidR="007C0DB0" w:rsidRPr="00197AB2" w:rsidRDefault="007C0DB0" w:rsidP="007C0DB0">
      <w:pPr>
        <w:numPr>
          <w:ilvl w:val="0"/>
          <w:numId w:val="3"/>
        </w:numPr>
        <w:spacing w:after="0"/>
        <w:ind w:right="144"/>
        <w:rPr>
          <w:rFonts w:cs="Arial"/>
          <w:sz w:val="22"/>
          <w:szCs w:val="22"/>
        </w:rPr>
      </w:pPr>
      <w:r w:rsidRPr="00197AB2">
        <w:rPr>
          <w:rFonts w:cs="Arial"/>
          <w:sz w:val="22"/>
          <w:szCs w:val="22"/>
        </w:rPr>
        <w:t>Do not exceed the word limit per entry.  Anything submitted in excess of the limit will be truncated prior to submission to committee for review</w:t>
      </w:r>
      <w:r w:rsidR="006571BA" w:rsidRPr="00197AB2">
        <w:rPr>
          <w:rFonts w:cs="Arial"/>
          <w:sz w:val="22"/>
          <w:szCs w:val="22"/>
        </w:rPr>
        <w:t xml:space="preserve"> unless otherwise stated</w:t>
      </w:r>
      <w:r w:rsidRPr="00197AB2">
        <w:rPr>
          <w:rFonts w:cs="Arial"/>
          <w:sz w:val="22"/>
          <w:szCs w:val="22"/>
        </w:rPr>
        <w:t>.</w:t>
      </w:r>
    </w:p>
    <w:p w:rsidR="007C0DB0" w:rsidRPr="00197AB2" w:rsidRDefault="007C0DB0" w:rsidP="007C0DB0">
      <w:pPr>
        <w:spacing w:after="0"/>
        <w:ind w:right="144"/>
        <w:rPr>
          <w:rFonts w:cs="Arial"/>
          <w:sz w:val="22"/>
          <w:szCs w:val="22"/>
        </w:rPr>
      </w:pPr>
    </w:p>
    <w:p w:rsidR="007C0DB0" w:rsidRPr="00197AB2" w:rsidRDefault="007C0DB0" w:rsidP="007C0DB0">
      <w:pPr>
        <w:numPr>
          <w:ilvl w:val="0"/>
          <w:numId w:val="3"/>
        </w:numPr>
        <w:spacing w:after="0"/>
        <w:ind w:right="144"/>
        <w:rPr>
          <w:rFonts w:cs="Arial"/>
          <w:sz w:val="22"/>
          <w:szCs w:val="22"/>
        </w:rPr>
      </w:pPr>
      <w:r w:rsidRPr="00197AB2">
        <w:rPr>
          <w:rFonts w:cs="Arial"/>
          <w:sz w:val="22"/>
          <w:szCs w:val="22"/>
        </w:rPr>
        <w:t xml:space="preserve">Obtain </w:t>
      </w:r>
      <w:r w:rsidR="00197AB2" w:rsidRPr="00197AB2">
        <w:rPr>
          <w:rFonts w:cs="Arial"/>
          <w:b/>
          <w:sz w:val="22"/>
          <w:szCs w:val="22"/>
        </w:rPr>
        <w:t>transcripts</w:t>
      </w:r>
      <w:r w:rsidRPr="00197AB2">
        <w:rPr>
          <w:rFonts w:cs="Arial"/>
          <w:b/>
          <w:sz w:val="22"/>
          <w:szCs w:val="22"/>
        </w:rPr>
        <w:t xml:space="preserve">:  </w:t>
      </w:r>
      <w:r w:rsidRPr="00197AB2">
        <w:rPr>
          <w:rFonts w:cs="Arial"/>
          <w:sz w:val="22"/>
          <w:szCs w:val="22"/>
        </w:rPr>
        <w:t xml:space="preserve">Students may </w:t>
      </w:r>
      <w:r w:rsidR="00197AB2" w:rsidRPr="00197AB2">
        <w:rPr>
          <w:rFonts w:cs="Arial"/>
          <w:sz w:val="22"/>
          <w:szCs w:val="22"/>
        </w:rPr>
        <w:t>ask the LFS</w:t>
      </w:r>
      <w:r w:rsidR="006571BA" w:rsidRPr="00197AB2">
        <w:rPr>
          <w:rFonts w:cs="Arial"/>
          <w:sz w:val="22"/>
          <w:szCs w:val="22"/>
        </w:rPr>
        <w:t xml:space="preserve"> G&amp;PS office </w:t>
      </w:r>
      <w:r w:rsidR="006571BA" w:rsidRPr="00197AB2">
        <w:rPr>
          <w:rFonts w:cs="Arial"/>
          <w:b/>
          <w:color w:val="FF0000"/>
          <w:sz w:val="22"/>
          <w:szCs w:val="22"/>
        </w:rPr>
        <w:t>lfs.gradasst@ubc.ca</w:t>
      </w:r>
      <w:r w:rsidR="006571BA" w:rsidRPr="00197AB2">
        <w:rPr>
          <w:rFonts w:cs="Arial"/>
          <w:sz w:val="22"/>
          <w:szCs w:val="22"/>
        </w:rPr>
        <w:t xml:space="preserve"> to</w:t>
      </w:r>
      <w:r w:rsidRPr="00197AB2">
        <w:rPr>
          <w:rFonts w:cs="Arial"/>
          <w:sz w:val="22"/>
          <w:szCs w:val="22"/>
        </w:rPr>
        <w:t xml:space="preserve"> photocopy the transcripts currently in their file, as long as they are current.  UBC transcripts are not required.</w:t>
      </w:r>
      <w:r w:rsidRPr="00197AB2">
        <w:rPr>
          <w:rFonts w:cs="Arial"/>
          <w:sz w:val="22"/>
          <w:szCs w:val="22"/>
        </w:rPr>
        <w:br/>
      </w:r>
    </w:p>
    <w:p w:rsidR="007C0DB0" w:rsidRPr="00197AB2" w:rsidRDefault="007C0DB0" w:rsidP="007C0DB0">
      <w:pPr>
        <w:numPr>
          <w:ilvl w:val="0"/>
          <w:numId w:val="3"/>
        </w:numPr>
        <w:spacing w:after="0"/>
        <w:ind w:right="144"/>
        <w:rPr>
          <w:rFonts w:cs="Arial"/>
          <w:sz w:val="22"/>
          <w:szCs w:val="22"/>
        </w:rPr>
      </w:pPr>
      <w:r w:rsidRPr="00197AB2">
        <w:rPr>
          <w:rFonts w:cs="Arial"/>
          <w:b/>
          <w:sz w:val="22"/>
          <w:szCs w:val="22"/>
        </w:rPr>
        <w:lastRenderedPageBreak/>
        <w:t xml:space="preserve">Reference Letter:  </w:t>
      </w:r>
      <w:r w:rsidRPr="00197AB2">
        <w:rPr>
          <w:rFonts w:cs="Arial"/>
          <w:sz w:val="22"/>
          <w:szCs w:val="22"/>
        </w:rPr>
        <w:t xml:space="preserve">ONE (1) reference letter is to be sent directly </w:t>
      </w:r>
      <w:r w:rsidR="00197AB2" w:rsidRPr="00197AB2">
        <w:rPr>
          <w:rFonts w:cs="Arial"/>
          <w:sz w:val="22"/>
          <w:szCs w:val="22"/>
        </w:rPr>
        <w:t xml:space="preserve">to </w:t>
      </w:r>
      <w:hyperlink r:id="rId7" w:history="1">
        <w:r w:rsidR="00197AB2" w:rsidRPr="00197AB2">
          <w:rPr>
            <w:rStyle w:val="Hyperlink"/>
            <w:rFonts w:cs="Arial"/>
            <w:b/>
            <w:sz w:val="22"/>
            <w:szCs w:val="22"/>
          </w:rPr>
          <w:t>lfs.gradasst@ubc.ca</w:t>
        </w:r>
      </w:hyperlink>
      <w:r w:rsidR="00197AB2" w:rsidRPr="00197AB2">
        <w:rPr>
          <w:rFonts w:cs="Arial"/>
          <w:b/>
          <w:color w:val="FF0000"/>
          <w:sz w:val="22"/>
          <w:szCs w:val="22"/>
        </w:rPr>
        <w:t xml:space="preserve"> </w:t>
      </w:r>
      <w:r w:rsidR="00197AB2" w:rsidRPr="00197AB2">
        <w:rPr>
          <w:rFonts w:cs="Arial"/>
          <w:color w:val="000000" w:themeColor="text1"/>
          <w:sz w:val="22"/>
          <w:szCs w:val="22"/>
        </w:rPr>
        <w:t>prior to the application</w:t>
      </w:r>
      <w:r w:rsidRPr="00197AB2">
        <w:rPr>
          <w:rFonts w:cs="Arial"/>
          <w:color w:val="000000" w:themeColor="text1"/>
          <w:sz w:val="22"/>
          <w:szCs w:val="22"/>
        </w:rPr>
        <w:t xml:space="preserve"> </w:t>
      </w:r>
      <w:r w:rsidRPr="00197AB2">
        <w:rPr>
          <w:rFonts w:cs="Arial"/>
          <w:sz w:val="22"/>
          <w:szCs w:val="22"/>
        </w:rPr>
        <w:t xml:space="preserve">deadline (email preferred).  The </w:t>
      </w:r>
      <w:r w:rsidR="00197AB2" w:rsidRPr="00197AB2">
        <w:rPr>
          <w:rFonts w:cs="Arial"/>
          <w:sz w:val="22"/>
          <w:szCs w:val="22"/>
        </w:rPr>
        <w:t>referee</w:t>
      </w:r>
      <w:r w:rsidRPr="00197AB2">
        <w:rPr>
          <w:rFonts w:cs="Arial"/>
          <w:sz w:val="22"/>
          <w:szCs w:val="22"/>
        </w:rPr>
        <w:t xml:space="preserve"> should </w:t>
      </w:r>
      <w:r w:rsidR="00197AB2" w:rsidRPr="00197AB2">
        <w:rPr>
          <w:rFonts w:cs="Arial"/>
          <w:sz w:val="22"/>
          <w:szCs w:val="22"/>
        </w:rPr>
        <w:t>be an academic.  The reference must include the</w:t>
      </w:r>
      <w:r w:rsidRPr="00197AB2">
        <w:rPr>
          <w:rFonts w:cs="Arial"/>
          <w:sz w:val="22"/>
          <w:szCs w:val="22"/>
        </w:rPr>
        <w:t xml:space="preserve"> title/rank of the Referee and should be sent from their institutional email address.</w:t>
      </w:r>
      <w:r w:rsidR="00197AB2" w:rsidRPr="00197AB2">
        <w:rPr>
          <w:rFonts w:cs="Arial"/>
          <w:sz w:val="22"/>
          <w:szCs w:val="22"/>
        </w:rPr>
        <w:t xml:space="preserve">  Ideally, the reference should provide details that otherwise may not be available in the application as outlined in Appendix II.</w:t>
      </w:r>
      <w:r w:rsidRPr="00197AB2">
        <w:rPr>
          <w:rFonts w:cs="Arial"/>
          <w:sz w:val="22"/>
          <w:szCs w:val="22"/>
        </w:rPr>
        <w:br/>
      </w:r>
    </w:p>
    <w:p w:rsidR="007C0DB0" w:rsidRPr="00197AB2" w:rsidRDefault="007C0DB0" w:rsidP="007C0DB0">
      <w:pPr>
        <w:spacing w:after="0"/>
        <w:ind w:right="144"/>
        <w:rPr>
          <w:rFonts w:cs="Arial"/>
          <w:sz w:val="22"/>
          <w:szCs w:val="22"/>
        </w:rPr>
      </w:pPr>
    </w:p>
    <w:p w:rsidR="007C0DB0" w:rsidRPr="00197AB2" w:rsidRDefault="007C0DB0" w:rsidP="007C0DB0">
      <w:pPr>
        <w:spacing w:after="0"/>
        <w:rPr>
          <w:rFonts w:cs="Arial"/>
          <w:b/>
          <w:sz w:val="22"/>
          <w:szCs w:val="22"/>
        </w:rPr>
      </w:pPr>
      <w:r w:rsidRPr="00197AB2">
        <w:rPr>
          <w:rFonts w:cs="Arial"/>
          <w:b/>
          <w:sz w:val="22"/>
          <w:szCs w:val="22"/>
        </w:rPr>
        <w:t>Award Start Dates</w:t>
      </w:r>
    </w:p>
    <w:p w:rsidR="007C0DB0" w:rsidRPr="00197AB2" w:rsidRDefault="007C0DB0" w:rsidP="007C0DB0">
      <w:pPr>
        <w:pStyle w:val="normalarial"/>
        <w:numPr>
          <w:ilvl w:val="12"/>
          <w:numId w:val="0"/>
        </w:numPr>
        <w:rPr>
          <w:rFonts w:cs="Arial"/>
          <w:sz w:val="22"/>
          <w:szCs w:val="22"/>
        </w:rPr>
      </w:pPr>
      <w:r w:rsidRPr="00197AB2">
        <w:rPr>
          <w:rFonts w:cs="Arial"/>
          <w:sz w:val="22"/>
          <w:szCs w:val="22"/>
        </w:rPr>
        <w:t>Land and Food Systems Scholarships are normally awarded for the academic year from September 1 - August 31.</w:t>
      </w:r>
    </w:p>
    <w:p w:rsidR="007C0DB0" w:rsidRPr="00197AB2" w:rsidRDefault="007C0DB0" w:rsidP="007C0DB0">
      <w:pPr>
        <w:spacing w:after="0"/>
        <w:rPr>
          <w:rFonts w:cs="Arial"/>
          <w:sz w:val="22"/>
          <w:szCs w:val="22"/>
        </w:rPr>
      </w:pPr>
    </w:p>
    <w:p w:rsidR="007C0DB0" w:rsidRPr="00197AB2" w:rsidRDefault="007C0DB0" w:rsidP="007C0DB0">
      <w:pPr>
        <w:spacing w:after="0"/>
        <w:rPr>
          <w:rFonts w:cs="Arial"/>
          <w:b/>
          <w:sz w:val="22"/>
          <w:szCs w:val="22"/>
        </w:rPr>
      </w:pPr>
      <w:r w:rsidRPr="00197AB2">
        <w:rPr>
          <w:rFonts w:cs="Arial"/>
          <w:b/>
          <w:sz w:val="22"/>
          <w:szCs w:val="22"/>
        </w:rPr>
        <w:t>Award End Dates</w:t>
      </w:r>
    </w:p>
    <w:p w:rsidR="007C0DB0" w:rsidRPr="00197AB2" w:rsidRDefault="007C0DB0" w:rsidP="007C0DB0">
      <w:pPr>
        <w:overflowPunct w:val="0"/>
        <w:autoSpaceDE w:val="0"/>
        <w:autoSpaceDN w:val="0"/>
        <w:adjustRightInd w:val="0"/>
        <w:spacing w:after="0"/>
        <w:ind w:right="144"/>
        <w:textAlignment w:val="baseline"/>
        <w:rPr>
          <w:rFonts w:eastAsia="Times New Roman" w:cs="Arial"/>
          <w:sz w:val="22"/>
          <w:szCs w:val="22"/>
          <w:lang w:val="en-CA"/>
        </w:rPr>
      </w:pPr>
      <w:r w:rsidRPr="00197AB2">
        <w:rPr>
          <w:rFonts w:eastAsia="Times New Roman" w:cs="Arial"/>
          <w:sz w:val="22"/>
          <w:szCs w:val="22"/>
          <w:lang w:val="en-CA"/>
        </w:rPr>
        <w:t>Students will receive the full amount of their award unless they voluntarily withdraw from their programs or are required to withdraw.  Note:  students on approved leaves will have their award payments suspended until their return to full-time registration.</w:t>
      </w:r>
    </w:p>
    <w:p w:rsidR="007C0DB0" w:rsidRPr="00197AB2" w:rsidRDefault="007C0DB0" w:rsidP="007C0DB0">
      <w:pPr>
        <w:spacing w:after="0"/>
        <w:rPr>
          <w:rFonts w:cs="Arial"/>
          <w:b/>
          <w:sz w:val="22"/>
          <w:szCs w:val="22"/>
        </w:rPr>
      </w:pPr>
    </w:p>
    <w:p w:rsidR="00197AB2" w:rsidRDefault="00197AB2" w:rsidP="007C0DB0">
      <w:pPr>
        <w:spacing w:after="0"/>
        <w:jc w:val="center"/>
        <w:rPr>
          <w:rFonts w:cs="Arial"/>
          <w:b/>
          <w:sz w:val="24"/>
          <w:szCs w:val="24"/>
        </w:rPr>
      </w:pPr>
    </w:p>
    <w:p w:rsidR="00197AB2" w:rsidRDefault="00197AB2" w:rsidP="007C0DB0">
      <w:pPr>
        <w:spacing w:after="0"/>
        <w:jc w:val="center"/>
        <w:rPr>
          <w:rFonts w:cs="Arial"/>
          <w:b/>
          <w:sz w:val="24"/>
          <w:szCs w:val="24"/>
        </w:rPr>
      </w:pPr>
    </w:p>
    <w:p w:rsidR="00197AB2" w:rsidRDefault="00197AB2" w:rsidP="007C0DB0">
      <w:pPr>
        <w:spacing w:after="0"/>
        <w:jc w:val="center"/>
        <w:rPr>
          <w:rFonts w:cs="Arial"/>
          <w:b/>
          <w:sz w:val="24"/>
          <w:szCs w:val="24"/>
        </w:rPr>
      </w:pPr>
    </w:p>
    <w:p w:rsidR="007C0DB0" w:rsidRPr="00B4037F" w:rsidRDefault="007C0DB0" w:rsidP="007C0DB0">
      <w:pPr>
        <w:spacing w:after="0"/>
        <w:jc w:val="center"/>
        <w:rPr>
          <w:rFonts w:cs="Arial"/>
          <w:b/>
          <w:sz w:val="24"/>
          <w:szCs w:val="24"/>
        </w:rPr>
      </w:pPr>
      <w:r w:rsidRPr="00B4037F">
        <w:rPr>
          <w:rFonts w:cs="Arial"/>
          <w:b/>
          <w:sz w:val="24"/>
          <w:szCs w:val="24"/>
        </w:rPr>
        <w:t>Appendix I</w:t>
      </w:r>
    </w:p>
    <w:p w:rsidR="007C0DB0" w:rsidRPr="00B4037F" w:rsidRDefault="007C0DB0" w:rsidP="007C0DB0">
      <w:pPr>
        <w:spacing w:after="0"/>
        <w:jc w:val="center"/>
        <w:rPr>
          <w:rFonts w:cs="Arial"/>
          <w:b/>
          <w:sz w:val="24"/>
          <w:szCs w:val="24"/>
          <w:u w:val="single"/>
        </w:rPr>
      </w:pPr>
      <w:r w:rsidRPr="00B4037F">
        <w:rPr>
          <w:rFonts w:cs="Arial"/>
          <w:b/>
          <w:sz w:val="24"/>
          <w:szCs w:val="24"/>
          <w:u w:val="single"/>
        </w:rPr>
        <w:t>Awards and Descriptions</w:t>
      </w:r>
    </w:p>
    <w:p w:rsidR="007C0DB0" w:rsidRPr="00B4037F" w:rsidRDefault="007C0DB0" w:rsidP="007C0DB0">
      <w:pPr>
        <w:spacing w:after="0"/>
        <w:rPr>
          <w:rFonts w:cs="Arial"/>
        </w:rPr>
      </w:pPr>
    </w:p>
    <w:p w:rsidR="007C0DB0" w:rsidRPr="00B4037F" w:rsidRDefault="007C0DB0" w:rsidP="007C0DB0">
      <w:pPr>
        <w:spacing w:after="0"/>
        <w:rPr>
          <w:rFonts w:cs="Arial"/>
        </w:rPr>
      </w:pPr>
    </w:p>
    <w:tbl>
      <w:tblPr>
        <w:tblStyle w:val="TableGrid"/>
        <w:tblW w:w="10165" w:type="dxa"/>
        <w:jc w:val="center"/>
        <w:tblLook w:val="04A0" w:firstRow="1" w:lastRow="0" w:firstColumn="1" w:lastColumn="0" w:noHBand="0" w:noVBand="1"/>
      </w:tblPr>
      <w:tblGrid>
        <w:gridCol w:w="905"/>
        <w:gridCol w:w="9260"/>
      </w:tblGrid>
      <w:tr w:rsidR="007C0DB0" w:rsidRPr="00B4037F" w:rsidTr="00A80C80">
        <w:trPr>
          <w:jc w:val="center"/>
        </w:trPr>
        <w:tc>
          <w:tcPr>
            <w:tcW w:w="905" w:type="dxa"/>
            <w:vAlign w:val="center"/>
          </w:tcPr>
          <w:p w:rsidR="007C0DB0" w:rsidRPr="00B4037F" w:rsidRDefault="007C0DB0" w:rsidP="00A80C80">
            <w:pPr>
              <w:rPr>
                <w:rFonts w:cs="Arial"/>
                <w:b/>
                <w:sz w:val="16"/>
                <w:szCs w:val="16"/>
              </w:rPr>
            </w:pPr>
            <w:r w:rsidRPr="00B4037F">
              <w:rPr>
                <w:rFonts w:cs="Arial"/>
                <w:b/>
                <w:sz w:val="16"/>
                <w:szCs w:val="16"/>
              </w:rPr>
              <w:t>Award Number</w:t>
            </w:r>
          </w:p>
          <w:p w:rsidR="007C0DB0" w:rsidRPr="00B4037F" w:rsidRDefault="007C0DB0" w:rsidP="00A80C80">
            <w:pPr>
              <w:rPr>
                <w:rFonts w:cs="Arial"/>
                <w:b/>
                <w:sz w:val="16"/>
                <w:szCs w:val="16"/>
              </w:rPr>
            </w:pPr>
            <w:r w:rsidRPr="00B4037F">
              <w:rPr>
                <w:rFonts w:cs="Arial"/>
                <w:b/>
                <w:color w:val="2E74B5" w:themeColor="accent5" w:themeShade="BF"/>
                <w:sz w:val="16"/>
                <w:szCs w:val="16"/>
              </w:rPr>
              <w:t>Eligible Program</w:t>
            </w:r>
          </w:p>
        </w:tc>
        <w:tc>
          <w:tcPr>
            <w:tcW w:w="9260" w:type="dxa"/>
            <w:vAlign w:val="center"/>
          </w:tcPr>
          <w:p w:rsidR="007C0DB0" w:rsidRPr="00B4037F" w:rsidRDefault="007C0DB0" w:rsidP="00A80C80">
            <w:pPr>
              <w:rPr>
                <w:rFonts w:cs="Arial"/>
                <w:b/>
                <w:color w:val="2F5496" w:themeColor="accent1" w:themeShade="BF"/>
                <w:sz w:val="24"/>
                <w:szCs w:val="24"/>
              </w:rPr>
            </w:pPr>
            <w:r w:rsidRPr="00B4037F">
              <w:rPr>
                <w:rFonts w:cs="Arial"/>
                <w:b/>
                <w:color w:val="2F5496" w:themeColor="accent1" w:themeShade="BF"/>
                <w:sz w:val="24"/>
                <w:szCs w:val="24"/>
              </w:rPr>
              <w:t xml:space="preserve">Scholarship Name                                                             </w:t>
            </w:r>
          </w:p>
          <w:p w:rsidR="007C0DB0" w:rsidRPr="00B4037F" w:rsidRDefault="007C0DB0" w:rsidP="00A80C80">
            <w:pPr>
              <w:rPr>
                <w:rFonts w:cs="Arial"/>
                <w:b/>
                <w:sz w:val="24"/>
                <w:szCs w:val="24"/>
              </w:rPr>
            </w:pPr>
            <w:r w:rsidRPr="00B4037F">
              <w:rPr>
                <w:rFonts w:cs="Arial"/>
                <w:b/>
                <w:color w:val="2F5496" w:themeColor="accent1" w:themeShade="BF"/>
                <w:sz w:val="24"/>
                <w:szCs w:val="24"/>
              </w:rPr>
              <w:t>Award Description</w:t>
            </w:r>
          </w:p>
        </w:tc>
      </w:tr>
      <w:tr w:rsidR="007C0DB0" w:rsidRPr="00B4037F" w:rsidTr="00A80C80">
        <w:trPr>
          <w:jc w:val="center"/>
        </w:trPr>
        <w:tc>
          <w:tcPr>
            <w:tcW w:w="905" w:type="dxa"/>
            <w:vAlign w:val="center"/>
          </w:tcPr>
          <w:p w:rsidR="007C0DB0" w:rsidRPr="00B4037F" w:rsidRDefault="007C0DB0" w:rsidP="00A80C80">
            <w:pPr>
              <w:jc w:val="center"/>
              <w:rPr>
                <w:rFonts w:cs="Arial"/>
                <w:b/>
              </w:rPr>
            </w:pPr>
            <w:r w:rsidRPr="00B4037F">
              <w:rPr>
                <w:rFonts w:cs="Arial"/>
                <w:b/>
              </w:rPr>
              <w:t>#4819</w:t>
            </w:r>
          </w:p>
          <w:p w:rsidR="007C0DB0" w:rsidRPr="00B4037F" w:rsidRDefault="007C0DB0" w:rsidP="00A80C80">
            <w:pPr>
              <w:jc w:val="center"/>
              <w:rPr>
                <w:rFonts w:cs="Arial"/>
                <w:b/>
              </w:rPr>
            </w:pPr>
          </w:p>
          <w:p w:rsidR="007C0DB0" w:rsidRPr="00B4037F" w:rsidRDefault="007C0DB0" w:rsidP="00A80C80">
            <w:pPr>
              <w:jc w:val="center"/>
              <w:rPr>
                <w:rFonts w:cs="Arial"/>
                <w:b/>
                <w:color w:val="2E74B5" w:themeColor="accent5" w:themeShade="BF"/>
              </w:rPr>
            </w:pPr>
            <w:r w:rsidRPr="00B4037F">
              <w:rPr>
                <w:rFonts w:cs="Arial"/>
                <w:b/>
                <w:color w:val="2E74B5" w:themeColor="accent5" w:themeShade="BF"/>
              </w:rPr>
              <w:t>ALL</w:t>
            </w:r>
          </w:p>
          <w:p w:rsidR="007C0DB0" w:rsidRPr="00B4037F" w:rsidRDefault="007C0DB0" w:rsidP="00A80C80">
            <w:pPr>
              <w:rPr>
                <w:rFonts w:cs="Arial"/>
              </w:rPr>
            </w:pPr>
          </w:p>
        </w:tc>
        <w:tc>
          <w:tcPr>
            <w:tcW w:w="9260" w:type="dxa"/>
          </w:tcPr>
          <w:p w:rsidR="007C0DB0" w:rsidRPr="00B4037F" w:rsidRDefault="007C0DB0" w:rsidP="00A80C80">
            <w:pPr>
              <w:rPr>
                <w:rFonts w:cs="Arial"/>
                <w:b/>
                <w:color w:val="1F3864" w:themeColor="accent1" w:themeShade="80"/>
                <w:sz w:val="22"/>
                <w:szCs w:val="22"/>
              </w:rPr>
            </w:pPr>
            <w:r w:rsidRPr="00B4037F">
              <w:rPr>
                <w:rFonts w:cs="Arial"/>
                <w:b/>
                <w:color w:val="1F3864" w:themeColor="accent1" w:themeShade="80"/>
                <w:sz w:val="22"/>
                <w:szCs w:val="22"/>
              </w:rPr>
              <w:t>Leonard S. KLINCK Memorial Fellowship</w:t>
            </w:r>
          </w:p>
          <w:p w:rsidR="007C0DB0" w:rsidRPr="00B4037F" w:rsidRDefault="007C0DB0" w:rsidP="00A80C80">
            <w:pPr>
              <w:rPr>
                <w:rFonts w:cs="Arial"/>
                <w:sz w:val="18"/>
                <w:szCs w:val="18"/>
              </w:rPr>
            </w:pPr>
            <w:r w:rsidRPr="00B4037F">
              <w:rPr>
                <w:rFonts w:cs="Arial"/>
                <w:sz w:val="18"/>
                <w:szCs w:val="18"/>
              </w:rPr>
              <w:t xml:space="preserve">Fellowships </w:t>
            </w:r>
            <w:proofErr w:type="spellStart"/>
            <w:r w:rsidRPr="00B4037F">
              <w:rPr>
                <w:rFonts w:cs="Arial"/>
                <w:sz w:val="18"/>
                <w:szCs w:val="18"/>
              </w:rPr>
              <w:t>totalling</w:t>
            </w:r>
            <w:proofErr w:type="spellEnd"/>
            <w:r w:rsidRPr="00B4037F">
              <w:rPr>
                <w:rFonts w:cs="Arial"/>
                <w:sz w:val="18"/>
                <w:szCs w:val="18"/>
              </w:rPr>
              <w:t xml:space="preserve"> $15,150 have been endowed by the late Dean Emeritus Blythe Eagles and Violet E. Eagles on the occasion of the 75th anniversary of the University. The award is to honor Leonard S. </w:t>
            </w:r>
            <w:proofErr w:type="spellStart"/>
            <w:r w:rsidRPr="00B4037F">
              <w:rPr>
                <w:rFonts w:cs="Arial"/>
                <w:sz w:val="18"/>
                <w:szCs w:val="18"/>
              </w:rPr>
              <w:t>Klinck</w:t>
            </w:r>
            <w:proofErr w:type="spellEnd"/>
            <w:r w:rsidRPr="00B4037F">
              <w:rPr>
                <w:rFonts w:cs="Arial"/>
                <w:sz w:val="18"/>
                <w:szCs w:val="18"/>
              </w:rPr>
              <w:t>, the first Dean of the Faculty of Agricultural Sciences (1914-1919) and second President of the University (1919-1944). The award is offered to students registered in Graduate Programs in the Faculty of Land and Food Systems and are made on the recommendation of the Faculty of Land and Food Systems in consultation with the Faculty of Graduate and Postdoctoral Studies.</w:t>
            </w:r>
          </w:p>
        </w:tc>
      </w:tr>
      <w:tr w:rsidR="007C0DB0" w:rsidRPr="00B4037F" w:rsidTr="00A80C80">
        <w:trPr>
          <w:jc w:val="center"/>
        </w:trPr>
        <w:tc>
          <w:tcPr>
            <w:tcW w:w="905" w:type="dxa"/>
            <w:vAlign w:val="center"/>
          </w:tcPr>
          <w:p w:rsidR="007C0DB0" w:rsidRPr="00B4037F" w:rsidRDefault="007C0DB0" w:rsidP="00A80C80">
            <w:pPr>
              <w:jc w:val="center"/>
              <w:rPr>
                <w:rFonts w:cs="Arial"/>
                <w:b/>
              </w:rPr>
            </w:pPr>
            <w:r w:rsidRPr="00B4037F">
              <w:rPr>
                <w:rFonts w:cs="Arial"/>
                <w:b/>
              </w:rPr>
              <w:t>#4848</w:t>
            </w:r>
          </w:p>
          <w:p w:rsidR="007C0DB0" w:rsidRPr="00B4037F" w:rsidRDefault="007C0DB0" w:rsidP="00A80C80">
            <w:pPr>
              <w:jc w:val="center"/>
              <w:rPr>
                <w:rFonts w:cs="Arial"/>
              </w:rPr>
            </w:pPr>
          </w:p>
          <w:p w:rsidR="007C0DB0" w:rsidRPr="00B4037F" w:rsidRDefault="007C0DB0" w:rsidP="00A80C80">
            <w:pPr>
              <w:jc w:val="center"/>
              <w:rPr>
                <w:rFonts w:cs="Arial"/>
                <w:b/>
              </w:rPr>
            </w:pPr>
            <w:r w:rsidRPr="00B4037F">
              <w:rPr>
                <w:rFonts w:cs="Arial"/>
                <w:b/>
                <w:color w:val="2E74B5" w:themeColor="accent5" w:themeShade="BF"/>
              </w:rPr>
              <w:t>ALL</w:t>
            </w:r>
          </w:p>
        </w:tc>
        <w:tc>
          <w:tcPr>
            <w:tcW w:w="9260" w:type="dxa"/>
          </w:tcPr>
          <w:p w:rsidR="007C0DB0" w:rsidRPr="00B4037F" w:rsidRDefault="007C0DB0" w:rsidP="00A80C80">
            <w:pPr>
              <w:rPr>
                <w:rFonts w:cs="Arial"/>
                <w:b/>
                <w:color w:val="1F3864" w:themeColor="accent1" w:themeShade="80"/>
                <w:sz w:val="22"/>
                <w:szCs w:val="22"/>
              </w:rPr>
            </w:pPr>
            <w:r w:rsidRPr="00B4037F">
              <w:rPr>
                <w:rFonts w:cs="Arial"/>
                <w:b/>
                <w:color w:val="1F3864" w:themeColor="accent1" w:themeShade="80"/>
                <w:sz w:val="22"/>
                <w:szCs w:val="22"/>
              </w:rPr>
              <w:t>Mary and David MACAREE Fellowship</w:t>
            </w:r>
          </w:p>
          <w:p w:rsidR="007C0DB0" w:rsidRPr="00B4037F" w:rsidRDefault="007C0DB0" w:rsidP="00A80C80">
            <w:pPr>
              <w:widowControl w:val="0"/>
              <w:spacing w:after="0"/>
              <w:rPr>
                <w:rFonts w:eastAsia="Times New Roman" w:cs="Arial"/>
                <w:kern w:val="28"/>
                <w:sz w:val="18"/>
                <w:szCs w:val="18"/>
                <w14:cntxtAlts/>
              </w:rPr>
            </w:pPr>
            <w:r w:rsidRPr="00B4037F">
              <w:rPr>
                <w:rFonts w:eastAsia="Times New Roman" w:cs="Arial"/>
                <w:kern w:val="28"/>
                <w:sz w:val="18"/>
                <w:szCs w:val="18"/>
                <w14:cntxtAlts/>
              </w:rPr>
              <w:t xml:space="preserve">Fellowships </w:t>
            </w:r>
            <w:proofErr w:type="spellStart"/>
            <w:r w:rsidRPr="00B4037F">
              <w:rPr>
                <w:rFonts w:eastAsia="Times New Roman" w:cs="Arial"/>
                <w:kern w:val="28"/>
                <w:sz w:val="18"/>
                <w:szCs w:val="18"/>
                <w14:cntxtAlts/>
              </w:rPr>
              <w:t>totalling</w:t>
            </w:r>
            <w:proofErr w:type="spellEnd"/>
            <w:r w:rsidRPr="00B4037F">
              <w:rPr>
                <w:rFonts w:eastAsia="Times New Roman" w:cs="Arial"/>
                <w:kern w:val="28"/>
                <w:sz w:val="18"/>
                <w:szCs w:val="18"/>
                <w14:cntxtAlts/>
              </w:rPr>
              <w:t xml:space="preserve"> $66,850 have been endowed through a bequest by Mary </w:t>
            </w:r>
            <w:proofErr w:type="spellStart"/>
            <w:r w:rsidRPr="00B4037F">
              <w:rPr>
                <w:rFonts w:eastAsia="Times New Roman" w:cs="Arial"/>
                <w:kern w:val="28"/>
                <w:sz w:val="18"/>
                <w:szCs w:val="18"/>
                <w14:cntxtAlts/>
              </w:rPr>
              <w:t>Macaree</w:t>
            </w:r>
            <w:proofErr w:type="spellEnd"/>
            <w:r w:rsidRPr="00B4037F">
              <w:rPr>
                <w:rFonts w:eastAsia="Times New Roman" w:cs="Arial"/>
                <w:kern w:val="28"/>
                <w:sz w:val="18"/>
                <w:szCs w:val="18"/>
                <w14:cntxtAlts/>
              </w:rPr>
              <w:t xml:space="preserve"> (B.L.S. 1963) and David </w:t>
            </w:r>
            <w:proofErr w:type="spellStart"/>
            <w:r w:rsidRPr="00B4037F">
              <w:rPr>
                <w:rFonts w:eastAsia="Times New Roman" w:cs="Arial"/>
                <w:kern w:val="28"/>
                <w:sz w:val="18"/>
                <w:szCs w:val="18"/>
                <w14:cntxtAlts/>
              </w:rPr>
              <w:t>Macaree</w:t>
            </w:r>
            <w:proofErr w:type="spellEnd"/>
            <w:r w:rsidRPr="00B4037F">
              <w:rPr>
                <w:rFonts w:eastAsia="Times New Roman" w:cs="Arial"/>
                <w:kern w:val="28"/>
                <w:sz w:val="18"/>
                <w:szCs w:val="18"/>
                <w14:cntxtAlts/>
              </w:rPr>
              <w:t xml:space="preserve"> (M.A. 1960) for graduate students in Land and Food Systems or Forestry whose research is relevant to sustainability of agricultural or forest resource ecosystems. The awards are made on the recommendation of the Faculty of Land and Food Systems and the Faculty of Forestry in consultation with the Faculty of Graduate and Postdoctoral Studies.</w:t>
            </w:r>
          </w:p>
        </w:tc>
      </w:tr>
      <w:tr w:rsidR="007C0DB0" w:rsidRPr="00B4037F" w:rsidTr="00A80C80">
        <w:trPr>
          <w:jc w:val="center"/>
        </w:trPr>
        <w:tc>
          <w:tcPr>
            <w:tcW w:w="905" w:type="dxa"/>
            <w:vAlign w:val="center"/>
          </w:tcPr>
          <w:p w:rsidR="007C0DB0" w:rsidRPr="00B4037F" w:rsidRDefault="007C0DB0" w:rsidP="00A80C80">
            <w:pPr>
              <w:jc w:val="center"/>
              <w:rPr>
                <w:rFonts w:cs="Arial"/>
                <w:b/>
              </w:rPr>
            </w:pPr>
            <w:r w:rsidRPr="00B4037F">
              <w:rPr>
                <w:rFonts w:cs="Arial"/>
                <w:b/>
              </w:rPr>
              <w:t>#6303</w:t>
            </w:r>
          </w:p>
          <w:p w:rsidR="007C0DB0" w:rsidRPr="00B4037F" w:rsidRDefault="007C0DB0" w:rsidP="00A80C80">
            <w:pPr>
              <w:rPr>
                <w:rFonts w:cs="Arial"/>
                <w:b/>
                <w:color w:val="2E74B5" w:themeColor="accent5" w:themeShade="BF"/>
              </w:rPr>
            </w:pPr>
            <w:r w:rsidRPr="00B4037F">
              <w:rPr>
                <w:rFonts w:cs="Arial"/>
                <w:b/>
                <w:color w:val="2E74B5" w:themeColor="accent5" w:themeShade="BF"/>
              </w:rPr>
              <w:t>AABI</w:t>
            </w:r>
          </w:p>
          <w:p w:rsidR="007C0DB0" w:rsidRPr="00B4037F" w:rsidRDefault="007C0DB0" w:rsidP="00A80C80">
            <w:pPr>
              <w:jc w:val="center"/>
              <w:rPr>
                <w:rFonts w:cs="Arial"/>
                <w:b/>
                <w:color w:val="2E74B5" w:themeColor="accent5" w:themeShade="BF"/>
              </w:rPr>
            </w:pPr>
            <w:r w:rsidRPr="00B4037F">
              <w:rPr>
                <w:rFonts w:cs="Arial"/>
                <w:b/>
                <w:color w:val="2E74B5" w:themeColor="accent5" w:themeShade="BF"/>
              </w:rPr>
              <w:t>FOOD</w:t>
            </w:r>
          </w:p>
          <w:p w:rsidR="007C0DB0" w:rsidRPr="00B4037F" w:rsidRDefault="007C0DB0" w:rsidP="00A80C80">
            <w:pPr>
              <w:jc w:val="center"/>
              <w:rPr>
                <w:rFonts w:cs="Arial"/>
                <w:b/>
              </w:rPr>
            </w:pPr>
            <w:r w:rsidRPr="00B4037F">
              <w:rPr>
                <w:rFonts w:cs="Arial"/>
                <w:b/>
                <w:color w:val="2E74B5" w:themeColor="accent5" w:themeShade="BF"/>
              </w:rPr>
              <w:t>HUNU</w:t>
            </w:r>
          </w:p>
        </w:tc>
        <w:tc>
          <w:tcPr>
            <w:tcW w:w="9260" w:type="dxa"/>
          </w:tcPr>
          <w:p w:rsidR="007C0DB0" w:rsidRPr="00B4037F" w:rsidRDefault="007C0DB0" w:rsidP="00A80C80">
            <w:pPr>
              <w:rPr>
                <w:rFonts w:cs="Arial"/>
                <w:b/>
                <w:color w:val="1F3864" w:themeColor="accent1" w:themeShade="80"/>
                <w:sz w:val="22"/>
                <w:szCs w:val="22"/>
              </w:rPr>
            </w:pPr>
            <w:r w:rsidRPr="00B4037F">
              <w:rPr>
                <w:rFonts w:cs="Arial"/>
                <w:b/>
                <w:color w:val="1F3864" w:themeColor="accent1" w:themeShade="80"/>
                <w:sz w:val="22"/>
                <w:szCs w:val="22"/>
              </w:rPr>
              <w:t>Wilson HENDERSON Fellowship</w:t>
            </w:r>
          </w:p>
          <w:p w:rsidR="007C0DB0" w:rsidRPr="00B4037F" w:rsidRDefault="007C0DB0" w:rsidP="00A80C80">
            <w:pPr>
              <w:rPr>
                <w:rFonts w:cs="Arial"/>
                <w:color w:val="000000" w:themeColor="text1"/>
                <w:sz w:val="18"/>
                <w:szCs w:val="18"/>
              </w:rPr>
            </w:pPr>
            <w:r w:rsidRPr="00B4037F">
              <w:rPr>
                <w:rFonts w:cs="Arial"/>
                <w:color w:val="000000" w:themeColor="text1"/>
                <w:sz w:val="18"/>
                <w:szCs w:val="18"/>
              </w:rPr>
              <w:t>A $11,450 fellowship has been endowed through a bequest by Dr. Wilson Henderson. The award is offered to a graduate student in the Faculty of Land and Food Systems, with preference given to those studying in the field of avian nutrition. The award is made on the recommendation of the Faculty of Land and Food Systems in consultation with the Faculty of Graduate and Postdoctoral Studies and may be renewable for up to two years.</w:t>
            </w:r>
          </w:p>
        </w:tc>
      </w:tr>
      <w:tr w:rsidR="007C0DB0" w:rsidRPr="00B4037F" w:rsidTr="00A80C80">
        <w:trPr>
          <w:jc w:val="center"/>
        </w:trPr>
        <w:tc>
          <w:tcPr>
            <w:tcW w:w="905" w:type="dxa"/>
            <w:vAlign w:val="center"/>
          </w:tcPr>
          <w:p w:rsidR="007C0DB0" w:rsidRPr="00A24CE4" w:rsidRDefault="007C0DB0" w:rsidP="00A80C80">
            <w:pPr>
              <w:jc w:val="center"/>
              <w:rPr>
                <w:rFonts w:cs="Arial"/>
                <w:b/>
              </w:rPr>
            </w:pPr>
            <w:r w:rsidRPr="00B4037F">
              <w:rPr>
                <w:rFonts w:cs="Arial"/>
                <w:b/>
              </w:rPr>
              <w:t>#6323</w:t>
            </w:r>
          </w:p>
          <w:p w:rsidR="007C0DB0" w:rsidRPr="00B4037F" w:rsidRDefault="007C0DB0" w:rsidP="00A80C80">
            <w:pPr>
              <w:jc w:val="center"/>
              <w:rPr>
                <w:rFonts w:cs="Arial"/>
                <w:b/>
              </w:rPr>
            </w:pPr>
            <w:r w:rsidRPr="00B4037F">
              <w:rPr>
                <w:rFonts w:cs="Arial"/>
                <w:b/>
                <w:color w:val="2E74B5" w:themeColor="accent5" w:themeShade="BF"/>
              </w:rPr>
              <w:t>ALL</w:t>
            </w:r>
          </w:p>
        </w:tc>
        <w:tc>
          <w:tcPr>
            <w:tcW w:w="9260" w:type="dxa"/>
          </w:tcPr>
          <w:p w:rsidR="007C0DB0" w:rsidRPr="00B4037F" w:rsidRDefault="007C0DB0" w:rsidP="00A80C80">
            <w:pPr>
              <w:rPr>
                <w:rFonts w:cs="Arial"/>
                <w:b/>
                <w:color w:val="1F3864" w:themeColor="accent1" w:themeShade="80"/>
                <w:sz w:val="22"/>
                <w:szCs w:val="22"/>
              </w:rPr>
            </w:pPr>
            <w:r w:rsidRPr="00B4037F">
              <w:rPr>
                <w:rFonts w:cs="Arial"/>
                <w:b/>
                <w:color w:val="1F3864" w:themeColor="accent1" w:themeShade="80"/>
                <w:sz w:val="22"/>
                <w:szCs w:val="22"/>
              </w:rPr>
              <w:t>NUTRITIONAL Research Fellowship</w:t>
            </w:r>
          </w:p>
          <w:p w:rsidR="007C0DB0" w:rsidRPr="00B4037F" w:rsidRDefault="007C0DB0" w:rsidP="00A80C80">
            <w:pPr>
              <w:widowControl w:val="0"/>
              <w:spacing w:after="0"/>
              <w:rPr>
                <w:rFonts w:eastAsia="Times New Roman" w:cs="Arial"/>
                <w:kern w:val="28"/>
                <w:sz w:val="18"/>
                <w:szCs w:val="18"/>
                <w14:cntxtAlts/>
              </w:rPr>
            </w:pPr>
            <w:r w:rsidRPr="00B4037F">
              <w:rPr>
                <w:rFonts w:eastAsia="Times New Roman" w:cs="Arial"/>
                <w:kern w:val="28"/>
                <w:sz w:val="18"/>
                <w:szCs w:val="18"/>
                <w14:cntxtAlts/>
              </w:rPr>
              <w:t xml:space="preserve">Fellowships </w:t>
            </w:r>
            <w:proofErr w:type="spellStart"/>
            <w:r w:rsidRPr="00B4037F">
              <w:rPr>
                <w:rFonts w:eastAsia="Times New Roman" w:cs="Arial"/>
                <w:kern w:val="28"/>
                <w:sz w:val="18"/>
                <w:szCs w:val="18"/>
                <w14:cntxtAlts/>
              </w:rPr>
              <w:t>totalling</w:t>
            </w:r>
            <w:proofErr w:type="spellEnd"/>
            <w:r w:rsidRPr="00B4037F">
              <w:rPr>
                <w:rFonts w:eastAsia="Times New Roman" w:cs="Arial"/>
                <w:kern w:val="28"/>
                <w:sz w:val="18"/>
                <w:szCs w:val="18"/>
                <w14:cntxtAlts/>
              </w:rPr>
              <w:t xml:space="preserve"> $14,050 have been endowed for graduate students in Agricultural Sciences pursuing nutritional research. The awards are made on the recommendation of the Faculty of Land and Food Systems in consultation with the Faculty of Graduate and Postdoctoral Studies.</w:t>
            </w:r>
          </w:p>
        </w:tc>
      </w:tr>
    </w:tbl>
    <w:p w:rsidR="007C0DB0" w:rsidRPr="00B4037F" w:rsidRDefault="007C0DB0" w:rsidP="007C0DB0">
      <w:pPr>
        <w:spacing w:after="0"/>
        <w:rPr>
          <w:rFonts w:cs="Arial"/>
          <w:sz w:val="22"/>
          <w:szCs w:val="22"/>
        </w:rPr>
      </w:pPr>
    </w:p>
    <w:p w:rsidR="007C0DB0" w:rsidRPr="00B4037F" w:rsidRDefault="007C0DB0" w:rsidP="007C0DB0">
      <w:pPr>
        <w:spacing w:after="0"/>
        <w:jc w:val="center"/>
        <w:rPr>
          <w:rFonts w:cs="Arial"/>
          <w:sz w:val="22"/>
          <w:szCs w:val="22"/>
        </w:rPr>
      </w:pPr>
      <w:r w:rsidRPr="00B4037F">
        <w:rPr>
          <w:rFonts w:cs="Arial"/>
          <w:sz w:val="22"/>
          <w:szCs w:val="22"/>
        </w:rPr>
        <w:t>Listed award values are from 2020-2021.  Final 2021-2022 award values - to be confirmed in July 2021</w:t>
      </w:r>
    </w:p>
    <w:p w:rsidR="007C0DB0" w:rsidRPr="00B4037F" w:rsidRDefault="007C0DB0" w:rsidP="007C0DB0">
      <w:pPr>
        <w:overflowPunct w:val="0"/>
        <w:autoSpaceDE w:val="0"/>
        <w:autoSpaceDN w:val="0"/>
        <w:adjustRightInd w:val="0"/>
        <w:spacing w:after="0"/>
        <w:ind w:right="144"/>
        <w:textAlignment w:val="baseline"/>
        <w:rPr>
          <w:rFonts w:eastAsia="Times New Roman" w:cs="Arial"/>
          <w:lang w:val="en-CA"/>
        </w:rPr>
      </w:pPr>
    </w:p>
    <w:p w:rsidR="007C0DB0" w:rsidRPr="00B4037F" w:rsidRDefault="007C0DB0" w:rsidP="007C0DB0">
      <w:pPr>
        <w:jc w:val="center"/>
        <w:rPr>
          <w:rFonts w:cs="Arial"/>
          <w:b/>
          <w:sz w:val="24"/>
          <w:szCs w:val="24"/>
        </w:rPr>
      </w:pPr>
    </w:p>
    <w:p w:rsidR="007C0DB0" w:rsidRDefault="007C0DB0" w:rsidP="007C0DB0">
      <w:pPr>
        <w:jc w:val="center"/>
        <w:rPr>
          <w:rFonts w:cs="Arial"/>
          <w:b/>
          <w:sz w:val="24"/>
          <w:szCs w:val="24"/>
        </w:rPr>
      </w:pPr>
    </w:p>
    <w:p w:rsidR="007C0DB0" w:rsidRDefault="007C0DB0" w:rsidP="007C0DB0">
      <w:pPr>
        <w:jc w:val="center"/>
        <w:rPr>
          <w:rFonts w:cs="Arial"/>
          <w:b/>
          <w:sz w:val="24"/>
          <w:szCs w:val="24"/>
        </w:rPr>
      </w:pPr>
      <w:bookmarkStart w:id="0" w:name="_Hlk74304777"/>
    </w:p>
    <w:p w:rsidR="007C0DB0" w:rsidRDefault="007C0DB0" w:rsidP="007C0DB0">
      <w:pPr>
        <w:jc w:val="center"/>
        <w:rPr>
          <w:rFonts w:cs="Arial"/>
          <w:b/>
          <w:sz w:val="24"/>
          <w:szCs w:val="24"/>
        </w:rPr>
      </w:pPr>
      <w:bookmarkStart w:id="1" w:name="_Hlk69839973"/>
      <w:r>
        <w:rPr>
          <w:rFonts w:cs="Arial"/>
          <w:b/>
          <w:sz w:val="24"/>
          <w:szCs w:val="24"/>
        </w:rPr>
        <w:lastRenderedPageBreak/>
        <w:t>Appendix II</w:t>
      </w:r>
    </w:p>
    <w:tbl>
      <w:tblPr>
        <w:tblW w:w="11246" w:type="dxa"/>
        <w:tblLook w:val="04A0" w:firstRow="1" w:lastRow="0" w:firstColumn="1" w:lastColumn="0" w:noHBand="0" w:noVBand="1"/>
      </w:tblPr>
      <w:tblGrid>
        <w:gridCol w:w="1487"/>
        <w:gridCol w:w="940"/>
        <w:gridCol w:w="256"/>
        <w:gridCol w:w="7847"/>
        <w:gridCol w:w="60"/>
        <w:gridCol w:w="201"/>
        <w:gridCol w:w="65"/>
        <w:gridCol w:w="390"/>
      </w:tblGrid>
      <w:tr w:rsidR="007C0DB0" w:rsidRPr="002C0E4C" w:rsidTr="002F400C">
        <w:trPr>
          <w:trHeight w:val="300"/>
        </w:trPr>
        <w:tc>
          <w:tcPr>
            <w:tcW w:w="10791" w:type="dxa"/>
            <w:gridSpan w:val="6"/>
            <w:tcBorders>
              <w:top w:val="nil"/>
              <w:left w:val="nil"/>
              <w:bottom w:val="nil"/>
              <w:right w:val="nil"/>
            </w:tcBorders>
            <w:shd w:val="clear" w:color="auto" w:fill="auto"/>
            <w:vAlign w:val="bottom"/>
          </w:tcPr>
          <w:p w:rsidR="007C0DB0" w:rsidRPr="002C0E4C" w:rsidRDefault="007C0DB0" w:rsidP="00A80C80">
            <w:pPr>
              <w:spacing w:after="0"/>
              <w:rPr>
                <w:rFonts w:ascii="Calibri" w:eastAsia="Times New Roman" w:hAnsi="Calibri" w:cs="Calibri"/>
                <w:color w:val="0563C1"/>
                <w:sz w:val="22"/>
                <w:szCs w:val="22"/>
                <w:u w:val="single"/>
                <w:lang w:val="en-CA" w:eastAsia="en-CA"/>
              </w:rPr>
            </w:pPr>
          </w:p>
        </w:tc>
        <w:tc>
          <w:tcPr>
            <w:tcW w:w="455" w:type="dxa"/>
            <w:gridSpan w:val="2"/>
            <w:tcBorders>
              <w:top w:val="nil"/>
              <w:left w:val="nil"/>
              <w:bottom w:val="nil"/>
              <w:right w:val="nil"/>
            </w:tcBorders>
            <w:shd w:val="clear" w:color="auto" w:fill="auto"/>
            <w:noWrap/>
            <w:vAlign w:val="bottom"/>
            <w:hideMark/>
          </w:tcPr>
          <w:p w:rsidR="007C0DB0" w:rsidRPr="002C0E4C" w:rsidRDefault="007C0DB0" w:rsidP="00A80C80">
            <w:pPr>
              <w:spacing w:after="0"/>
              <w:rPr>
                <w:rFonts w:ascii="Calibri" w:eastAsia="Times New Roman" w:hAnsi="Calibri" w:cs="Calibri"/>
                <w:color w:val="0563C1"/>
                <w:sz w:val="22"/>
                <w:szCs w:val="22"/>
                <w:u w:val="single"/>
                <w:lang w:val="en-CA" w:eastAsia="en-CA"/>
              </w:rPr>
            </w:pPr>
          </w:p>
        </w:tc>
      </w:tr>
      <w:tr w:rsidR="002F400C" w:rsidRPr="002C0E4C" w:rsidTr="002F400C">
        <w:trPr>
          <w:gridAfter w:val="4"/>
          <w:wAfter w:w="716" w:type="dxa"/>
          <w:trHeight w:val="900"/>
        </w:trPr>
        <w:tc>
          <w:tcPr>
            <w:tcW w:w="1487" w:type="dxa"/>
            <w:tcBorders>
              <w:top w:val="nil"/>
              <w:left w:val="nil"/>
              <w:bottom w:val="nil"/>
              <w:right w:val="nil"/>
            </w:tcBorders>
            <w:shd w:val="clear" w:color="auto" w:fill="auto"/>
            <w:vAlign w:val="bottom"/>
            <w:hideMark/>
          </w:tcPr>
          <w:p w:rsidR="002F400C" w:rsidRPr="002C0E4C" w:rsidRDefault="002F400C" w:rsidP="002F400C">
            <w:pPr>
              <w:spacing w:after="0"/>
              <w:rPr>
                <w:rFonts w:ascii="Times New Roman" w:eastAsia="Times New Roman" w:hAnsi="Times New Roman"/>
                <w:b/>
                <w:sz w:val="28"/>
                <w:szCs w:val="28"/>
                <w:highlight w:val="yellow"/>
                <w:lang w:val="en-CA" w:eastAsia="en-CA"/>
              </w:rPr>
            </w:pPr>
            <w:r w:rsidRPr="002C0E4C">
              <w:rPr>
                <w:rFonts w:ascii="Times New Roman" w:eastAsia="Times New Roman" w:hAnsi="Times New Roman"/>
                <w:b/>
                <w:sz w:val="28"/>
                <w:szCs w:val="28"/>
                <w:highlight w:val="yellow"/>
                <w:lang w:val="en-CA" w:eastAsia="en-CA"/>
              </w:rPr>
              <w:t>CGSD</w:t>
            </w:r>
          </w:p>
        </w:tc>
        <w:tc>
          <w:tcPr>
            <w:tcW w:w="940" w:type="dxa"/>
            <w:tcBorders>
              <w:top w:val="nil"/>
              <w:left w:val="nil"/>
              <w:bottom w:val="nil"/>
              <w:right w:val="nil"/>
            </w:tcBorders>
            <w:shd w:val="clear" w:color="auto" w:fill="auto"/>
            <w:noWrap/>
            <w:vAlign w:val="bottom"/>
            <w:hideMark/>
          </w:tcPr>
          <w:p w:rsidR="002F400C" w:rsidRPr="002C0E4C" w:rsidRDefault="002F400C" w:rsidP="002F400C">
            <w:pPr>
              <w:spacing w:after="0"/>
              <w:rPr>
                <w:rFonts w:ascii="Times New Roman" w:eastAsia="Times New Roman" w:hAnsi="Times New Roman"/>
                <w:lang w:val="en-CA" w:eastAsia="en-CA"/>
              </w:rPr>
            </w:pPr>
          </w:p>
        </w:tc>
        <w:tc>
          <w:tcPr>
            <w:tcW w:w="256" w:type="dxa"/>
            <w:tcBorders>
              <w:top w:val="nil"/>
              <w:left w:val="nil"/>
              <w:bottom w:val="nil"/>
              <w:right w:val="nil"/>
            </w:tcBorders>
            <w:shd w:val="clear" w:color="auto" w:fill="auto"/>
            <w:vAlign w:val="center"/>
            <w:hideMark/>
          </w:tcPr>
          <w:p w:rsidR="002F400C" w:rsidRPr="002C0E4C" w:rsidRDefault="002F400C" w:rsidP="002F400C">
            <w:pPr>
              <w:spacing w:after="0"/>
              <w:jc w:val="center"/>
              <w:rPr>
                <w:rFonts w:ascii="Calibri" w:eastAsia="Times New Roman" w:hAnsi="Calibri" w:cs="Calibri"/>
                <w:i/>
                <w:iCs/>
                <w:color w:val="000000"/>
                <w:sz w:val="22"/>
                <w:szCs w:val="22"/>
                <w:lang w:val="en-CA" w:eastAsia="en-CA"/>
              </w:rPr>
            </w:pPr>
          </w:p>
        </w:tc>
        <w:tc>
          <w:tcPr>
            <w:tcW w:w="7847" w:type="dxa"/>
            <w:tcBorders>
              <w:top w:val="nil"/>
              <w:left w:val="nil"/>
              <w:bottom w:val="nil"/>
              <w:right w:val="nil"/>
            </w:tcBorders>
            <w:shd w:val="clear" w:color="auto" w:fill="auto"/>
            <w:vAlign w:val="bottom"/>
            <w:hideMark/>
          </w:tcPr>
          <w:p w:rsidR="002F400C" w:rsidRPr="002C0E4C" w:rsidRDefault="002F400C" w:rsidP="002F400C">
            <w:pPr>
              <w:spacing w:after="0"/>
              <w:rPr>
                <w:rFonts w:ascii="Calibri" w:eastAsia="Times New Roman" w:hAnsi="Calibri" w:cs="Calibri"/>
                <w:color w:val="0563C1"/>
                <w:sz w:val="22"/>
                <w:szCs w:val="22"/>
                <w:u w:val="single"/>
                <w:lang w:val="en-CA" w:eastAsia="en-CA"/>
              </w:rPr>
            </w:pPr>
            <w:hyperlink r:id="rId8" w:history="1">
              <w:r w:rsidRPr="002C0E4C">
                <w:rPr>
                  <w:rFonts w:ascii="Calibri" w:eastAsia="Times New Roman" w:hAnsi="Calibri" w:cs="Calibri"/>
                  <w:color w:val="0563C1"/>
                  <w:sz w:val="22"/>
                  <w:szCs w:val="22"/>
                  <w:u w:val="single"/>
                  <w:lang w:val="en-CA" w:eastAsia="en-CA"/>
                </w:rPr>
                <w:t>https://www.nserc-crsng.gc.ca/Students-Etudiants/PG-CS/CGSD-BESCD_eng.asp</w:t>
              </w:r>
            </w:hyperlink>
          </w:p>
        </w:tc>
      </w:tr>
      <w:tr w:rsidR="002F400C" w:rsidRPr="002C0E4C" w:rsidTr="002F400C">
        <w:trPr>
          <w:gridAfter w:val="3"/>
          <w:wAfter w:w="656" w:type="dxa"/>
          <w:trHeight w:val="630"/>
        </w:trPr>
        <w:tc>
          <w:tcPr>
            <w:tcW w:w="148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400C" w:rsidRPr="002C0E4C" w:rsidRDefault="002F400C" w:rsidP="002F400C">
            <w:pPr>
              <w:spacing w:after="0"/>
              <w:jc w:val="center"/>
              <w:rPr>
                <w:rFonts w:ascii="Calibri" w:eastAsia="Times New Roman" w:hAnsi="Calibri" w:cs="Calibri"/>
                <w:b/>
                <w:bCs/>
                <w:color w:val="000000"/>
                <w:sz w:val="24"/>
                <w:szCs w:val="24"/>
                <w:lang w:val="en-CA" w:eastAsia="en-CA"/>
              </w:rPr>
            </w:pPr>
            <w:r w:rsidRPr="002C0E4C">
              <w:rPr>
                <w:rFonts w:ascii="Calibri" w:eastAsia="Times New Roman" w:hAnsi="Calibri" w:cs="Calibri"/>
                <w:b/>
                <w:bCs/>
                <w:color w:val="000000"/>
                <w:sz w:val="24"/>
                <w:szCs w:val="24"/>
                <w:lang w:val="en-CA" w:eastAsia="en-CA"/>
              </w:rPr>
              <w:t>Criteria</w:t>
            </w:r>
          </w:p>
        </w:tc>
        <w:tc>
          <w:tcPr>
            <w:tcW w:w="940" w:type="dxa"/>
            <w:tcBorders>
              <w:top w:val="single" w:sz="4" w:space="0" w:color="auto"/>
              <w:left w:val="nil"/>
              <w:bottom w:val="single" w:sz="4" w:space="0" w:color="auto"/>
              <w:right w:val="single" w:sz="4" w:space="0" w:color="auto"/>
            </w:tcBorders>
            <w:shd w:val="clear" w:color="000000" w:fill="A6A6A6"/>
            <w:noWrap/>
            <w:vAlign w:val="center"/>
            <w:hideMark/>
          </w:tcPr>
          <w:p w:rsidR="002F400C" w:rsidRPr="002C0E4C" w:rsidRDefault="002F400C" w:rsidP="002F400C">
            <w:pPr>
              <w:spacing w:after="0"/>
              <w:jc w:val="center"/>
              <w:rPr>
                <w:rFonts w:ascii="Calibri" w:eastAsia="Times New Roman" w:hAnsi="Calibri" w:cs="Calibri"/>
                <w:b/>
                <w:bCs/>
                <w:color w:val="000000"/>
                <w:sz w:val="24"/>
                <w:szCs w:val="24"/>
                <w:lang w:val="en-CA" w:eastAsia="en-CA"/>
              </w:rPr>
            </w:pPr>
            <w:r w:rsidRPr="002C0E4C">
              <w:rPr>
                <w:rFonts w:ascii="Calibri" w:eastAsia="Times New Roman" w:hAnsi="Calibri" w:cs="Calibri"/>
                <w:b/>
                <w:bCs/>
                <w:color w:val="000000"/>
                <w:sz w:val="24"/>
                <w:szCs w:val="24"/>
                <w:lang w:val="en-CA" w:eastAsia="en-CA"/>
              </w:rPr>
              <w:t>Weight</w:t>
            </w:r>
          </w:p>
        </w:tc>
        <w:tc>
          <w:tcPr>
            <w:tcW w:w="8163" w:type="dxa"/>
            <w:gridSpan w:val="3"/>
            <w:tcBorders>
              <w:top w:val="single" w:sz="4" w:space="0" w:color="auto"/>
              <w:left w:val="nil"/>
              <w:bottom w:val="single" w:sz="4" w:space="0" w:color="auto"/>
              <w:right w:val="single" w:sz="4" w:space="0" w:color="auto"/>
            </w:tcBorders>
            <w:shd w:val="clear" w:color="000000" w:fill="A6A6A6"/>
            <w:vAlign w:val="center"/>
            <w:hideMark/>
          </w:tcPr>
          <w:p w:rsidR="002F400C" w:rsidRPr="002C0E4C" w:rsidRDefault="002F400C" w:rsidP="002F400C">
            <w:pPr>
              <w:spacing w:after="0"/>
              <w:jc w:val="center"/>
              <w:rPr>
                <w:rFonts w:ascii="Calibri" w:eastAsia="Times New Roman" w:hAnsi="Calibri" w:cs="Calibri"/>
                <w:b/>
                <w:bCs/>
                <w:color w:val="000000"/>
                <w:sz w:val="24"/>
                <w:szCs w:val="24"/>
                <w:lang w:val="en-CA" w:eastAsia="en-CA"/>
              </w:rPr>
            </w:pPr>
            <w:r w:rsidRPr="002C0E4C">
              <w:rPr>
                <w:rFonts w:ascii="Calibri" w:eastAsia="Times New Roman" w:hAnsi="Calibri" w:cs="Calibri"/>
                <w:b/>
                <w:bCs/>
                <w:color w:val="000000"/>
                <w:sz w:val="24"/>
                <w:szCs w:val="24"/>
                <w:lang w:val="en-CA" w:eastAsia="en-CA"/>
              </w:rPr>
              <w:t>Description</w:t>
            </w:r>
          </w:p>
        </w:tc>
      </w:tr>
      <w:tr w:rsidR="002F400C" w:rsidRPr="002C0E4C" w:rsidTr="002F400C">
        <w:trPr>
          <w:gridAfter w:val="1"/>
          <w:wAfter w:w="390" w:type="dxa"/>
          <w:trHeight w:val="305"/>
        </w:trPr>
        <w:tc>
          <w:tcPr>
            <w:tcW w:w="1487" w:type="dxa"/>
            <w:vMerge w:val="restart"/>
            <w:tcBorders>
              <w:top w:val="single" w:sz="4" w:space="0" w:color="auto"/>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r w:rsidRPr="002C0E4C">
              <w:rPr>
                <w:rFonts w:ascii="Calibri" w:eastAsia="Times New Roman" w:hAnsi="Calibri" w:cs="Calibri"/>
                <w:b/>
                <w:bCs/>
                <w:color w:val="000000"/>
                <w:sz w:val="22"/>
                <w:szCs w:val="22"/>
                <w:lang w:val="en-CA" w:eastAsia="en-CA"/>
              </w:rPr>
              <w:t>Research ability and potential</w:t>
            </w:r>
          </w:p>
        </w:tc>
        <w:tc>
          <w:tcPr>
            <w:tcW w:w="940" w:type="dxa"/>
            <w:vMerge w:val="restart"/>
            <w:tcBorders>
              <w:top w:val="single" w:sz="4" w:space="0" w:color="auto"/>
              <w:bottom w:val="single" w:sz="4" w:space="0" w:color="auto"/>
              <w:right w:val="single" w:sz="4" w:space="0" w:color="auto"/>
            </w:tcBorders>
            <w:shd w:val="clear" w:color="auto" w:fill="A8D08D" w:themeFill="accent6" w:themeFillTint="99"/>
            <w:noWrap/>
            <w:vAlign w:val="center"/>
            <w:hideMark/>
          </w:tcPr>
          <w:p w:rsidR="002F400C" w:rsidRPr="002C0E4C" w:rsidRDefault="002F400C" w:rsidP="002F400C">
            <w:pPr>
              <w:spacing w:after="0"/>
              <w:jc w:val="center"/>
              <w:rPr>
                <w:rFonts w:ascii="Calibri" w:eastAsia="Times New Roman" w:hAnsi="Calibri" w:cs="Calibri"/>
                <w:b/>
                <w:bCs/>
                <w:color w:val="000000"/>
                <w:sz w:val="22"/>
                <w:szCs w:val="22"/>
                <w:lang w:val="en-CA" w:eastAsia="en-CA"/>
              </w:rPr>
            </w:pPr>
            <w:r w:rsidRPr="002C0E4C">
              <w:rPr>
                <w:rFonts w:ascii="Calibri" w:eastAsia="Times New Roman" w:hAnsi="Calibri" w:cs="Calibri"/>
                <w:b/>
                <w:bCs/>
                <w:color w:val="000000"/>
                <w:sz w:val="22"/>
                <w:szCs w:val="22"/>
                <w:lang w:val="en-CA" w:eastAsia="en-CA"/>
              </w:rPr>
              <w:t>50%</w:t>
            </w:r>
          </w:p>
        </w:tc>
        <w:tc>
          <w:tcPr>
            <w:tcW w:w="8163" w:type="dxa"/>
            <w:gridSpan w:val="3"/>
            <w:tcBorders>
              <w:top w:val="nil"/>
              <w:left w:val="single" w:sz="4" w:space="0" w:color="auto"/>
              <w:bottom w:val="single" w:sz="4" w:space="0" w:color="auto"/>
              <w:right w:val="nil"/>
            </w:tcBorders>
            <w:shd w:val="clear" w:color="auto" w:fill="A8D08D" w:themeFill="accent6" w:themeFillTint="99"/>
            <w:vAlign w:val="bottom"/>
            <w:hideMark/>
          </w:tcPr>
          <w:p w:rsidR="002F400C" w:rsidRPr="004E214B" w:rsidRDefault="002F400C" w:rsidP="002F400C">
            <w:pPr>
              <w:spacing w:after="0"/>
              <w:rPr>
                <w:rFonts w:ascii="Calibri" w:eastAsia="Times New Roman" w:hAnsi="Calibri" w:cs="Calibri"/>
                <w:b/>
                <w:bCs/>
                <w:i/>
                <w:color w:val="000000"/>
                <w:sz w:val="22"/>
                <w:szCs w:val="22"/>
                <w:lang w:val="en-CA" w:eastAsia="en-CA"/>
              </w:rPr>
            </w:pPr>
            <w:r w:rsidRPr="004E214B">
              <w:rPr>
                <w:rFonts w:ascii="Calibri" w:eastAsia="Times New Roman" w:hAnsi="Calibri" w:cs="Calibri"/>
                <w:b/>
                <w:bCs/>
                <w:i/>
                <w:color w:val="000000"/>
                <w:sz w:val="22"/>
                <w:szCs w:val="22"/>
                <w:lang w:val="en-CA" w:eastAsia="en-CA"/>
              </w:rPr>
              <w:t>Indicators of research ability and potential:</w:t>
            </w:r>
          </w:p>
        </w:tc>
        <w:tc>
          <w:tcPr>
            <w:tcW w:w="266" w:type="dxa"/>
            <w:gridSpan w:val="2"/>
            <w:tcBorders>
              <w:top w:val="nil"/>
              <w:left w:val="nil"/>
              <w:right w:val="nil"/>
            </w:tcBorders>
            <w:shd w:val="clear" w:color="auto" w:fill="auto"/>
            <w:noWrap/>
            <w:vAlign w:val="bottom"/>
            <w:hideMark/>
          </w:tcPr>
          <w:p w:rsidR="002F400C" w:rsidRPr="002C0E4C" w:rsidRDefault="002F400C" w:rsidP="002F400C">
            <w:pPr>
              <w:spacing w:after="0"/>
              <w:rPr>
                <w:rFonts w:ascii="Calibri" w:eastAsia="Times New Roman" w:hAnsi="Calibri" w:cs="Calibri"/>
                <w:color w:val="000000"/>
                <w:sz w:val="22"/>
                <w:szCs w:val="22"/>
                <w:lang w:val="en-CA" w:eastAsia="en-CA"/>
              </w:rPr>
            </w:pPr>
            <w:r w:rsidRPr="002C0E4C">
              <w:rPr>
                <w:rFonts w:ascii="Calibri" w:eastAsia="Times New Roman" w:hAnsi="Calibri" w:cs="Calibri"/>
                <w:color w:val="000000"/>
                <w:sz w:val="22"/>
                <w:szCs w:val="22"/>
                <w:lang w:val="en-CA" w:eastAsia="en-CA"/>
              </w:rPr>
              <w:t> </w:t>
            </w:r>
          </w:p>
        </w:tc>
      </w:tr>
      <w:tr w:rsidR="002F400C" w:rsidRPr="002C0E4C" w:rsidTr="002F400C">
        <w:trPr>
          <w:gridAfter w:val="3"/>
          <w:wAfter w:w="656" w:type="dxa"/>
          <w:trHeight w:val="980"/>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b/>
                <w:color w:val="000000"/>
                <w:lang w:val="en-CA" w:eastAsia="en-CA"/>
              </w:rPr>
              <w:t>quality of research proposal:</w:t>
            </w:r>
            <w:r w:rsidRPr="002C0E4C">
              <w:rPr>
                <w:rFonts w:ascii="Calibri" w:eastAsia="Times New Roman" w:hAnsi="Calibri" w:cs="Calibri"/>
                <w:color w:val="000000"/>
                <w:lang w:val="en-CA" w:eastAsia="en-CA"/>
              </w:rPr>
              <w:br/>
              <w:t>-specific, focused and feasible research question(s) and</w:t>
            </w:r>
            <w:r>
              <w:rPr>
                <w:rFonts w:ascii="Calibri" w:eastAsia="Times New Roman" w:hAnsi="Calibri" w:cs="Calibri"/>
                <w:color w:val="000000"/>
                <w:lang w:val="en-CA" w:eastAsia="en-CA"/>
              </w:rPr>
              <w:t xml:space="preserve"> objective(s)</w:t>
            </w:r>
            <w:r w:rsidRPr="002C0E4C">
              <w:rPr>
                <w:rFonts w:ascii="Calibri" w:eastAsia="Times New Roman" w:hAnsi="Calibri" w:cs="Calibri"/>
                <w:color w:val="000000"/>
                <w:lang w:val="en-CA" w:eastAsia="en-CA"/>
              </w:rPr>
              <w:br/>
              <w:t>-clear description of the proposed methodology</w:t>
            </w:r>
            <w:r w:rsidRPr="002C0E4C">
              <w:rPr>
                <w:rFonts w:ascii="Calibri" w:eastAsia="Times New Roman" w:hAnsi="Calibri" w:cs="Calibri"/>
                <w:color w:val="000000"/>
                <w:lang w:val="en-CA" w:eastAsia="en-CA"/>
              </w:rPr>
              <w:br/>
              <w:t>-significance and expected contributions to research</w:t>
            </w:r>
          </w:p>
        </w:tc>
      </w:tr>
      <w:tr w:rsidR="002F400C" w:rsidRPr="002C0E4C" w:rsidTr="002F400C">
        <w:trPr>
          <w:gridAfter w:val="3"/>
          <w:wAfter w:w="656" w:type="dxa"/>
          <w:trHeight w:val="260"/>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relevant training, such as academic training, lived experience and traditional teachings</w:t>
            </w:r>
          </w:p>
        </w:tc>
      </w:tr>
      <w:tr w:rsidR="002F400C" w:rsidRPr="002C0E4C" w:rsidTr="002F400C">
        <w:trPr>
          <w:gridAfter w:val="3"/>
          <w:wAfter w:w="656" w:type="dxa"/>
          <w:trHeight w:val="525"/>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research experience and achievements relative to the applicant’s stage of study, lived experience and knowledge systems</w:t>
            </w:r>
          </w:p>
        </w:tc>
      </w:tr>
      <w:tr w:rsidR="002F400C" w:rsidRPr="002C0E4C" w:rsidTr="002F400C">
        <w:trPr>
          <w:gridAfter w:val="3"/>
          <w:wAfter w:w="656" w:type="dxa"/>
          <w:trHeight w:val="864"/>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quality of contributions and extent to which they advance the field of research. Contributions may include: publications, patents, reports, posters, abstracts, monographs, presentations, creative outputs, knowledge translation outputs, community products, etc.</w:t>
            </w:r>
          </w:p>
        </w:tc>
      </w:tr>
      <w:tr w:rsidR="002F400C" w:rsidRPr="002C0E4C" w:rsidTr="002F400C">
        <w:trPr>
          <w:gridAfter w:val="3"/>
          <w:wAfter w:w="656" w:type="dxa"/>
          <w:trHeight w:val="300"/>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demonstration of sound judgment and ability to think critically</w:t>
            </w:r>
          </w:p>
        </w:tc>
      </w:tr>
      <w:tr w:rsidR="002F400C" w:rsidRPr="002C0E4C" w:rsidTr="002F400C">
        <w:trPr>
          <w:gridAfter w:val="3"/>
          <w:wAfter w:w="656" w:type="dxa"/>
          <w:trHeight w:val="710"/>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demonstration of responsible and ethical research conduct, including honest and thoughtful inquiry, rigorous analysis, commitment to safety and to the dissemination of research results and adherence to the use of professional standards</w:t>
            </w:r>
          </w:p>
        </w:tc>
      </w:tr>
      <w:tr w:rsidR="002F400C" w:rsidRPr="002C0E4C" w:rsidTr="002F400C">
        <w:trPr>
          <w:gridAfter w:val="3"/>
          <w:wAfter w:w="656" w:type="dxa"/>
          <w:trHeight w:val="525"/>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enthusiasm for research, originality, initiative, autonomy, relevant community involvement and outreach</w:t>
            </w:r>
            <w:bookmarkStart w:id="2" w:name="_GoBack"/>
            <w:bookmarkEnd w:id="2"/>
          </w:p>
        </w:tc>
      </w:tr>
      <w:tr w:rsidR="002F400C" w:rsidRPr="002C0E4C" w:rsidTr="002F400C">
        <w:trPr>
          <w:gridAfter w:val="3"/>
          <w:wAfter w:w="656" w:type="dxa"/>
          <w:trHeight w:val="525"/>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ability or potential to communicate theoretical, technical and/or scientific concepts clearly and logically in written and oral formats</w:t>
            </w:r>
          </w:p>
        </w:tc>
      </w:tr>
      <w:tr w:rsidR="002F400C" w:rsidRPr="002C0E4C" w:rsidTr="002F400C">
        <w:trPr>
          <w:gridAfter w:val="3"/>
          <w:wAfter w:w="656" w:type="dxa"/>
          <w:trHeight w:val="300"/>
        </w:trPr>
        <w:tc>
          <w:tcPr>
            <w:tcW w:w="1487" w:type="dxa"/>
            <w:vMerge/>
            <w:tcBorders>
              <w:top w:val="nil"/>
              <w:left w:val="single" w:sz="4" w:space="0" w:color="auto"/>
              <w:bottom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nil"/>
              <w:bottom w:val="single" w:sz="4" w:space="0" w:color="auto"/>
              <w:right w:val="single" w:sz="4" w:space="0" w:color="auto"/>
            </w:tcBorders>
            <w:shd w:val="clear" w:color="auto" w:fill="A8D08D" w:themeFill="accent6"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nil"/>
              <w:left w:val="single" w:sz="4" w:space="0" w:color="auto"/>
              <w:bottom w:val="single" w:sz="4" w:space="0" w:color="auto"/>
              <w:right w:val="single" w:sz="4" w:space="0" w:color="auto"/>
            </w:tcBorders>
            <w:shd w:val="clear" w:color="auto" w:fill="A8D08D" w:themeFill="accent6" w:themeFillTint="99"/>
            <w:vAlign w:val="bottom"/>
            <w:hideMark/>
          </w:tcPr>
          <w:p w:rsidR="002F400C" w:rsidRPr="002C0E4C" w:rsidRDefault="002F400C" w:rsidP="002F400C">
            <w:pPr>
              <w:spacing w:after="0"/>
              <w:jc w:val="right"/>
              <w:rPr>
                <w:rFonts w:ascii="Calibri" w:eastAsia="Times New Roman" w:hAnsi="Calibri" w:cs="Calibri"/>
                <w:b/>
                <w:bCs/>
                <w:color w:val="000000"/>
                <w:lang w:val="en-CA" w:eastAsia="en-CA"/>
              </w:rPr>
            </w:pPr>
          </w:p>
        </w:tc>
      </w:tr>
      <w:tr w:rsidR="002F400C" w:rsidRPr="002C0E4C" w:rsidTr="002F400C">
        <w:trPr>
          <w:gridAfter w:val="3"/>
          <w:wAfter w:w="656" w:type="dxa"/>
          <w:trHeight w:val="600"/>
        </w:trPr>
        <w:tc>
          <w:tcPr>
            <w:tcW w:w="1487" w:type="dxa"/>
            <w:vMerge w:val="restart"/>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r w:rsidRPr="002C0E4C">
              <w:rPr>
                <w:rFonts w:ascii="Calibri" w:eastAsia="Times New Roman" w:hAnsi="Calibri" w:cs="Calibri"/>
                <w:b/>
                <w:bCs/>
                <w:color w:val="000000"/>
                <w:sz w:val="22"/>
                <w:szCs w:val="22"/>
                <w:lang w:val="en-CA" w:eastAsia="en-CA"/>
              </w:rPr>
              <w:t>Relevant experience and achievements obtained within and beyond academia</w:t>
            </w:r>
          </w:p>
        </w:tc>
        <w:tc>
          <w:tcPr>
            <w:tcW w:w="940" w:type="dxa"/>
            <w:vMerge w:val="restart"/>
            <w:tcBorders>
              <w:top w:val="single" w:sz="4" w:space="0" w:color="auto"/>
              <w:bottom w:val="single" w:sz="4" w:space="0" w:color="auto"/>
              <w:right w:val="single" w:sz="4" w:space="0" w:color="auto"/>
            </w:tcBorders>
            <w:shd w:val="clear" w:color="auto" w:fill="C9C9C9" w:themeFill="accent3" w:themeFillTint="99"/>
            <w:noWrap/>
            <w:vAlign w:val="center"/>
            <w:hideMark/>
          </w:tcPr>
          <w:p w:rsidR="002F400C" w:rsidRPr="002C0E4C" w:rsidRDefault="002F400C" w:rsidP="002F400C">
            <w:pPr>
              <w:spacing w:after="0"/>
              <w:jc w:val="center"/>
              <w:rPr>
                <w:rFonts w:ascii="Calibri" w:eastAsia="Times New Roman" w:hAnsi="Calibri" w:cs="Calibri"/>
                <w:b/>
                <w:bCs/>
                <w:color w:val="000000"/>
                <w:sz w:val="22"/>
                <w:szCs w:val="22"/>
                <w:lang w:val="en-CA" w:eastAsia="en-CA"/>
              </w:rPr>
            </w:pPr>
            <w:r w:rsidRPr="002C0E4C">
              <w:rPr>
                <w:rFonts w:ascii="Calibri" w:eastAsia="Times New Roman" w:hAnsi="Calibri" w:cs="Calibri"/>
                <w:b/>
                <w:bCs/>
                <w:color w:val="000000"/>
                <w:sz w:val="22"/>
                <w:szCs w:val="22"/>
                <w:lang w:val="en-CA" w:eastAsia="en-CA"/>
              </w:rPr>
              <w:t>50%</w:t>
            </w:r>
          </w:p>
        </w:tc>
        <w:tc>
          <w:tcPr>
            <w:tcW w:w="8163"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vAlign w:val="bottom"/>
            <w:hideMark/>
          </w:tcPr>
          <w:p w:rsidR="002F400C" w:rsidRPr="004E214B" w:rsidRDefault="002F400C" w:rsidP="002F400C">
            <w:pPr>
              <w:spacing w:after="0"/>
              <w:rPr>
                <w:rFonts w:ascii="Calibri" w:eastAsia="Times New Roman" w:hAnsi="Calibri" w:cs="Calibri"/>
                <w:b/>
                <w:bCs/>
                <w:i/>
                <w:color w:val="000000"/>
                <w:sz w:val="22"/>
                <w:szCs w:val="22"/>
                <w:lang w:val="en-CA" w:eastAsia="en-CA"/>
              </w:rPr>
            </w:pPr>
            <w:r w:rsidRPr="004E214B">
              <w:rPr>
                <w:rFonts w:ascii="Calibri" w:eastAsia="Times New Roman" w:hAnsi="Calibri" w:cs="Calibri"/>
                <w:b/>
                <w:bCs/>
                <w:i/>
                <w:color w:val="000000"/>
                <w:sz w:val="22"/>
                <w:szCs w:val="22"/>
                <w:lang w:val="en-CA" w:eastAsia="en-CA"/>
              </w:rPr>
              <w:t>Indicators of relevant experience and achievements obtained within and beyond academia:</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scholarships, awards and distinctions (amount, duration and prestige)</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b/>
                <w:bCs/>
                <w:color w:val="000000"/>
                <w:lang w:val="en-CA" w:eastAsia="en-CA"/>
              </w:rPr>
            </w:pPr>
            <w:r w:rsidRPr="002C0E4C">
              <w:rPr>
                <w:rFonts w:ascii="Calibri" w:eastAsia="Times New Roman" w:hAnsi="Calibri" w:cs="Calibri"/>
                <w:b/>
                <w:bCs/>
                <w:color w:val="000000"/>
                <w:lang w:val="en-CA" w:eastAsia="en-CA"/>
              </w:rPr>
              <w:t>Academic record:</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transcripts</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duration of previous studies</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program requirements and courses pursued</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course load</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relative standing in program (if available)</w:t>
            </w:r>
          </w:p>
        </w:tc>
      </w:tr>
      <w:tr w:rsidR="002F400C" w:rsidRPr="002C0E4C" w:rsidTr="002F400C">
        <w:trPr>
          <w:gridAfter w:val="3"/>
          <w:wAfter w:w="656" w:type="dxa"/>
          <w:trHeight w:val="548"/>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b/>
                <w:bCs/>
                <w:color w:val="000000"/>
                <w:lang w:val="en-CA" w:eastAsia="en-CA"/>
              </w:rPr>
            </w:pPr>
            <w:r w:rsidRPr="002C0E4C">
              <w:rPr>
                <w:rFonts w:ascii="Calibri" w:eastAsia="Times New Roman" w:hAnsi="Calibri" w:cs="Calibri"/>
                <w:b/>
                <w:bCs/>
                <w:color w:val="000000"/>
                <w:lang w:val="en-CA" w:eastAsia="en-CA"/>
              </w:rPr>
              <w:t>Professional, academic and extracurricular activities as well as collaborations with supervisors, colleagues, peers, students and members of the community, such as:</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teaching, mentoring, supervising and/or coaching</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managing projects</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participating in science and/or research promotion</w:t>
            </w:r>
          </w:p>
        </w:tc>
      </w:tr>
      <w:tr w:rsidR="002F400C" w:rsidRPr="002C0E4C" w:rsidTr="002F400C">
        <w:trPr>
          <w:gridAfter w:val="3"/>
          <w:wAfter w:w="656" w:type="dxa"/>
          <w:trHeight w:val="26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participating community outreach, volunteer work and/or civic engagement</w:t>
            </w:r>
          </w:p>
        </w:tc>
      </w:tr>
      <w:tr w:rsidR="002F400C" w:rsidRPr="002C0E4C" w:rsidTr="002F400C">
        <w:trPr>
          <w:gridAfter w:val="3"/>
          <w:wAfter w:w="656" w:type="dxa"/>
          <w:trHeight w:val="300"/>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chairing committees and/or organizing conferences and meetings</w:t>
            </w:r>
          </w:p>
        </w:tc>
      </w:tr>
      <w:tr w:rsidR="002F400C" w:rsidRPr="002C0E4C" w:rsidTr="002F400C">
        <w:trPr>
          <w:gridAfter w:val="3"/>
          <w:wAfter w:w="656" w:type="dxa"/>
          <w:trHeight w:val="302"/>
        </w:trPr>
        <w:tc>
          <w:tcPr>
            <w:tcW w:w="1487" w:type="dxa"/>
            <w:vMerge/>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940" w:type="dxa"/>
            <w:vMerge/>
            <w:tcBorders>
              <w:top w:val="single" w:sz="4" w:space="0" w:color="auto"/>
              <w:bottom w:val="single" w:sz="4" w:space="0" w:color="auto"/>
              <w:right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bCs/>
                <w:color w:val="000000"/>
                <w:sz w:val="22"/>
                <w:szCs w:val="22"/>
                <w:lang w:val="en-CA" w:eastAsia="en-CA"/>
              </w:rPr>
            </w:pPr>
          </w:p>
        </w:tc>
        <w:tc>
          <w:tcPr>
            <w:tcW w:w="81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00C" w:rsidRPr="002C0E4C" w:rsidRDefault="002F400C" w:rsidP="002F400C">
            <w:pPr>
              <w:spacing w:after="0"/>
              <w:rPr>
                <w:rFonts w:ascii="Calibri" w:eastAsia="Times New Roman" w:hAnsi="Calibri" w:cs="Calibri"/>
                <w:color w:val="000000"/>
                <w:lang w:val="en-CA" w:eastAsia="en-CA"/>
              </w:rPr>
            </w:pPr>
            <w:r w:rsidRPr="002C0E4C">
              <w:rPr>
                <w:rFonts w:ascii="Calibri" w:eastAsia="Times New Roman" w:hAnsi="Calibri" w:cs="Calibri"/>
                <w:color w:val="000000"/>
                <w:lang w:val="en-CA" w:eastAsia="en-CA"/>
              </w:rPr>
              <w:t>participating in departmental or institutional organizations, associations, societies and/or club</w:t>
            </w:r>
            <w:r>
              <w:rPr>
                <w:rFonts w:ascii="Calibri" w:eastAsia="Times New Roman" w:hAnsi="Calibri" w:cs="Calibri"/>
                <w:color w:val="000000"/>
                <w:lang w:val="en-CA" w:eastAsia="en-CA"/>
              </w:rPr>
              <w:t>s</w:t>
            </w:r>
          </w:p>
        </w:tc>
      </w:tr>
      <w:tr w:rsidR="002F400C" w:rsidRPr="007C09C4" w:rsidTr="002F400C">
        <w:trPr>
          <w:gridAfter w:val="3"/>
          <w:wAfter w:w="656" w:type="dxa"/>
          <w:trHeight w:val="289"/>
        </w:trPr>
        <w:tc>
          <w:tcPr>
            <w:tcW w:w="1487" w:type="dxa"/>
            <w:tcBorders>
              <w:top w:val="single" w:sz="4" w:space="0" w:color="auto"/>
              <w:left w:val="single" w:sz="4" w:space="0" w:color="auto"/>
              <w:bottom w:val="single" w:sz="4" w:space="0" w:color="auto"/>
            </w:tcBorders>
            <w:shd w:val="clear" w:color="auto" w:fill="C9C9C9" w:themeFill="accent3" w:themeFillTint="99"/>
            <w:vAlign w:val="center"/>
            <w:hideMark/>
          </w:tcPr>
          <w:p w:rsidR="002F400C" w:rsidRPr="002C0E4C" w:rsidRDefault="002F400C" w:rsidP="002F400C">
            <w:pPr>
              <w:spacing w:after="0"/>
              <w:rPr>
                <w:rFonts w:ascii="Calibri" w:eastAsia="Times New Roman" w:hAnsi="Calibri" w:cs="Calibri"/>
                <w:b/>
                <w:color w:val="000000"/>
                <w:sz w:val="22"/>
                <w:szCs w:val="22"/>
                <w:lang w:val="en-CA" w:eastAsia="en-CA"/>
              </w:rPr>
            </w:pPr>
          </w:p>
        </w:tc>
        <w:tc>
          <w:tcPr>
            <w:tcW w:w="940" w:type="dxa"/>
            <w:tcBorders>
              <w:top w:val="single" w:sz="4" w:space="0" w:color="auto"/>
              <w:bottom w:val="single" w:sz="4" w:space="0" w:color="auto"/>
            </w:tcBorders>
            <w:shd w:val="clear" w:color="auto" w:fill="C9C9C9" w:themeFill="accent3" w:themeFillTint="99"/>
            <w:noWrap/>
            <w:vAlign w:val="center"/>
            <w:hideMark/>
          </w:tcPr>
          <w:p w:rsidR="002F400C" w:rsidRPr="002C0E4C" w:rsidRDefault="002F400C" w:rsidP="002F400C">
            <w:pPr>
              <w:spacing w:after="0"/>
              <w:jc w:val="center"/>
              <w:rPr>
                <w:rFonts w:ascii="Calibri" w:eastAsia="Times New Roman" w:hAnsi="Calibri" w:cs="Calibri"/>
                <w:b/>
                <w:color w:val="000000"/>
                <w:sz w:val="22"/>
                <w:szCs w:val="22"/>
                <w:lang w:val="en-CA" w:eastAsia="en-CA"/>
              </w:rPr>
            </w:pPr>
            <w:r w:rsidRPr="002C0E4C">
              <w:rPr>
                <w:rFonts w:ascii="Calibri" w:eastAsia="Times New Roman" w:hAnsi="Calibri" w:cs="Calibri"/>
                <w:b/>
                <w:color w:val="000000"/>
                <w:sz w:val="22"/>
                <w:szCs w:val="22"/>
                <w:lang w:val="en-CA" w:eastAsia="en-CA"/>
              </w:rPr>
              <w:t> </w:t>
            </w:r>
          </w:p>
        </w:tc>
        <w:tc>
          <w:tcPr>
            <w:tcW w:w="8163" w:type="dxa"/>
            <w:gridSpan w:val="3"/>
            <w:tcBorders>
              <w:top w:val="single" w:sz="4" w:space="0" w:color="auto"/>
              <w:bottom w:val="single" w:sz="4" w:space="0" w:color="auto"/>
              <w:right w:val="single" w:sz="4" w:space="0" w:color="auto"/>
            </w:tcBorders>
            <w:shd w:val="clear" w:color="auto" w:fill="C9C9C9" w:themeFill="accent3" w:themeFillTint="99"/>
            <w:vAlign w:val="bottom"/>
            <w:hideMark/>
          </w:tcPr>
          <w:p w:rsidR="002F400C" w:rsidRPr="002C0E4C" w:rsidRDefault="002F400C" w:rsidP="002F400C">
            <w:pPr>
              <w:spacing w:after="0"/>
              <w:jc w:val="right"/>
              <w:rPr>
                <w:rFonts w:ascii="Calibri" w:eastAsia="Times New Roman" w:hAnsi="Calibri" w:cs="Calibri"/>
                <w:b/>
                <w:bCs/>
                <w:color w:val="000000"/>
                <w:lang w:val="en-CA" w:eastAsia="en-CA"/>
              </w:rPr>
            </w:pPr>
          </w:p>
        </w:tc>
      </w:tr>
    </w:tbl>
    <w:p w:rsidR="007C0DB0" w:rsidRDefault="007C0DB0" w:rsidP="007C0DB0">
      <w:pPr>
        <w:ind w:right="180"/>
        <w:jc w:val="center"/>
        <w:rPr>
          <w:rFonts w:cs="Arial"/>
          <w:b/>
          <w:sz w:val="24"/>
          <w:szCs w:val="24"/>
        </w:rPr>
      </w:pPr>
    </w:p>
    <w:tbl>
      <w:tblPr>
        <w:tblW w:w="10510" w:type="dxa"/>
        <w:tblInd w:w="90" w:type="dxa"/>
        <w:tblLook w:val="04A0" w:firstRow="1" w:lastRow="0" w:firstColumn="1" w:lastColumn="0" w:noHBand="0" w:noVBand="1"/>
      </w:tblPr>
      <w:tblGrid>
        <w:gridCol w:w="1531"/>
        <w:gridCol w:w="1619"/>
        <w:gridCol w:w="7360"/>
      </w:tblGrid>
      <w:tr w:rsidR="002F400C" w:rsidRPr="007C09C4" w:rsidTr="002F400C">
        <w:trPr>
          <w:trHeight w:val="934"/>
        </w:trPr>
        <w:tc>
          <w:tcPr>
            <w:tcW w:w="1531" w:type="dxa"/>
            <w:tcBorders>
              <w:top w:val="nil"/>
              <w:left w:val="nil"/>
              <w:bottom w:val="nil"/>
              <w:right w:val="nil"/>
            </w:tcBorders>
            <w:shd w:val="clear" w:color="auto" w:fill="auto"/>
            <w:vAlign w:val="bottom"/>
            <w:hideMark/>
          </w:tcPr>
          <w:p w:rsidR="002F400C" w:rsidRPr="007C09C4" w:rsidRDefault="002F400C" w:rsidP="00A80C80">
            <w:pPr>
              <w:spacing w:after="0"/>
              <w:rPr>
                <w:rFonts w:ascii="Calibri" w:eastAsia="Times New Roman" w:hAnsi="Calibri" w:cs="Calibri"/>
                <w:b/>
                <w:bCs/>
                <w:color w:val="000000"/>
                <w:sz w:val="22"/>
                <w:szCs w:val="22"/>
                <w:lang w:val="en-CA" w:eastAsia="en-CA"/>
              </w:rPr>
            </w:pPr>
            <w:r w:rsidRPr="002C0E4C">
              <w:rPr>
                <w:rFonts w:ascii="Times New Roman" w:eastAsia="Times New Roman" w:hAnsi="Times New Roman"/>
                <w:b/>
                <w:sz w:val="28"/>
                <w:szCs w:val="28"/>
                <w:highlight w:val="yellow"/>
                <w:lang w:val="en-CA" w:eastAsia="en-CA"/>
              </w:rPr>
              <w:lastRenderedPageBreak/>
              <w:t>CGS</w:t>
            </w:r>
            <w:r>
              <w:rPr>
                <w:rFonts w:ascii="Times New Roman" w:eastAsia="Times New Roman" w:hAnsi="Times New Roman"/>
                <w:b/>
                <w:sz w:val="28"/>
                <w:szCs w:val="28"/>
                <w:highlight w:val="yellow"/>
                <w:lang w:val="en-CA" w:eastAsia="en-CA"/>
              </w:rPr>
              <w:t>M</w:t>
            </w:r>
          </w:p>
        </w:tc>
        <w:tc>
          <w:tcPr>
            <w:tcW w:w="1619" w:type="dxa"/>
            <w:tcBorders>
              <w:top w:val="nil"/>
              <w:left w:val="nil"/>
              <w:bottom w:val="nil"/>
              <w:right w:val="nil"/>
            </w:tcBorders>
            <w:shd w:val="clear" w:color="auto" w:fill="auto"/>
            <w:noWrap/>
            <w:vAlign w:val="bottom"/>
            <w:hideMark/>
          </w:tcPr>
          <w:p w:rsidR="002F400C" w:rsidRPr="007C09C4" w:rsidRDefault="002F400C" w:rsidP="002F400C">
            <w:pPr>
              <w:spacing w:after="0"/>
              <w:rPr>
                <w:rFonts w:ascii="Calibri" w:eastAsia="Times New Roman" w:hAnsi="Calibri" w:cs="Calibri"/>
                <w:b/>
                <w:bCs/>
                <w:color w:val="000000"/>
                <w:sz w:val="22"/>
                <w:szCs w:val="22"/>
                <w:lang w:val="en-CA" w:eastAsia="en-CA"/>
              </w:rPr>
            </w:pPr>
          </w:p>
        </w:tc>
        <w:tc>
          <w:tcPr>
            <w:tcW w:w="7360" w:type="dxa"/>
            <w:tcBorders>
              <w:top w:val="nil"/>
              <w:left w:val="nil"/>
              <w:bottom w:val="nil"/>
              <w:right w:val="nil"/>
            </w:tcBorders>
            <w:shd w:val="clear" w:color="auto" w:fill="auto"/>
            <w:vAlign w:val="bottom"/>
            <w:hideMark/>
          </w:tcPr>
          <w:p w:rsidR="002F400C" w:rsidRPr="002F400C" w:rsidRDefault="002F400C" w:rsidP="002F400C">
            <w:pPr>
              <w:spacing w:after="0"/>
              <w:rPr>
                <w:rFonts w:ascii="Calibri" w:eastAsia="Times New Roman" w:hAnsi="Calibri" w:cs="Calibri"/>
                <w:color w:val="0563C1"/>
                <w:sz w:val="22"/>
                <w:szCs w:val="22"/>
                <w:u w:val="single"/>
                <w:lang w:val="en-CA" w:eastAsia="en-CA"/>
              </w:rPr>
            </w:pPr>
            <w:hyperlink r:id="rId9" w:history="1">
              <w:r w:rsidRPr="007C09C4">
                <w:rPr>
                  <w:rFonts w:ascii="Calibri" w:eastAsia="Times New Roman" w:hAnsi="Calibri" w:cs="Calibri"/>
                  <w:color w:val="0563C1"/>
                  <w:sz w:val="22"/>
                  <w:szCs w:val="22"/>
                  <w:u w:val="single"/>
                  <w:lang w:val="en-CA" w:eastAsia="en-CA"/>
                </w:rPr>
                <w:t>https://www.nserc-crsng.gc.ca/students-etudiants/pg-cs/cgsm-bescm_eng.asp</w:t>
              </w:r>
            </w:hyperlink>
          </w:p>
        </w:tc>
      </w:tr>
      <w:tr w:rsidR="007C0DB0" w:rsidRPr="007C09C4" w:rsidTr="002F400C">
        <w:trPr>
          <w:trHeight w:val="630"/>
        </w:trPr>
        <w:tc>
          <w:tcPr>
            <w:tcW w:w="153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C0DB0" w:rsidRPr="007C09C4" w:rsidRDefault="007C0DB0" w:rsidP="00A80C80">
            <w:pPr>
              <w:spacing w:after="0"/>
              <w:jc w:val="center"/>
              <w:rPr>
                <w:rFonts w:ascii="Calibri" w:eastAsia="Times New Roman" w:hAnsi="Calibri" w:cs="Calibri"/>
                <w:b/>
                <w:bCs/>
                <w:color w:val="000000"/>
                <w:sz w:val="24"/>
                <w:szCs w:val="24"/>
                <w:lang w:val="en-CA" w:eastAsia="en-CA"/>
              </w:rPr>
            </w:pPr>
            <w:r w:rsidRPr="007C09C4">
              <w:rPr>
                <w:rFonts w:ascii="Calibri" w:eastAsia="Times New Roman" w:hAnsi="Calibri" w:cs="Calibri"/>
                <w:b/>
                <w:bCs/>
                <w:color w:val="000000"/>
                <w:sz w:val="24"/>
                <w:szCs w:val="24"/>
                <w:lang w:val="en-CA" w:eastAsia="en-CA"/>
              </w:rPr>
              <w:t>Criteria</w:t>
            </w:r>
          </w:p>
        </w:tc>
        <w:tc>
          <w:tcPr>
            <w:tcW w:w="1619" w:type="dxa"/>
            <w:tcBorders>
              <w:top w:val="single" w:sz="4" w:space="0" w:color="auto"/>
              <w:left w:val="nil"/>
              <w:bottom w:val="single" w:sz="4" w:space="0" w:color="auto"/>
              <w:right w:val="single" w:sz="4" w:space="0" w:color="auto"/>
            </w:tcBorders>
            <w:shd w:val="clear" w:color="000000" w:fill="A6A6A6"/>
            <w:noWrap/>
            <w:vAlign w:val="center"/>
            <w:hideMark/>
          </w:tcPr>
          <w:p w:rsidR="007C0DB0" w:rsidRPr="007C09C4" w:rsidRDefault="007C0DB0" w:rsidP="00A80C80">
            <w:pPr>
              <w:spacing w:after="0"/>
              <w:jc w:val="center"/>
              <w:rPr>
                <w:rFonts w:ascii="Calibri" w:eastAsia="Times New Roman" w:hAnsi="Calibri" w:cs="Calibri"/>
                <w:b/>
                <w:bCs/>
                <w:color w:val="000000"/>
                <w:sz w:val="24"/>
                <w:szCs w:val="24"/>
                <w:lang w:val="en-CA" w:eastAsia="en-CA"/>
              </w:rPr>
            </w:pPr>
            <w:r w:rsidRPr="007C09C4">
              <w:rPr>
                <w:rFonts w:ascii="Calibri" w:eastAsia="Times New Roman" w:hAnsi="Calibri" w:cs="Calibri"/>
                <w:b/>
                <w:bCs/>
                <w:color w:val="000000"/>
                <w:sz w:val="24"/>
                <w:szCs w:val="24"/>
                <w:lang w:val="en-CA" w:eastAsia="en-CA"/>
              </w:rPr>
              <w:t>Weight</w:t>
            </w:r>
          </w:p>
        </w:tc>
        <w:tc>
          <w:tcPr>
            <w:tcW w:w="7360" w:type="dxa"/>
            <w:tcBorders>
              <w:top w:val="nil"/>
              <w:left w:val="nil"/>
              <w:bottom w:val="single" w:sz="4" w:space="0" w:color="auto"/>
              <w:right w:val="single" w:sz="4" w:space="0" w:color="auto"/>
            </w:tcBorders>
            <w:shd w:val="clear" w:color="000000" w:fill="A6A6A6"/>
            <w:vAlign w:val="center"/>
            <w:hideMark/>
          </w:tcPr>
          <w:p w:rsidR="007C0DB0" w:rsidRPr="007C09C4" w:rsidRDefault="007C0DB0" w:rsidP="00A80C80">
            <w:pPr>
              <w:spacing w:after="0"/>
              <w:jc w:val="center"/>
              <w:rPr>
                <w:rFonts w:ascii="Calibri" w:eastAsia="Times New Roman" w:hAnsi="Calibri" w:cs="Calibri"/>
                <w:b/>
                <w:bCs/>
                <w:color w:val="000000"/>
                <w:sz w:val="24"/>
                <w:szCs w:val="24"/>
                <w:lang w:val="en-CA" w:eastAsia="en-CA"/>
              </w:rPr>
            </w:pPr>
            <w:r w:rsidRPr="007C09C4">
              <w:rPr>
                <w:rFonts w:ascii="Calibri" w:eastAsia="Times New Roman" w:hAnsi="Calibri" w:cs="Calibri"/>
                <w:b/>
                <w:bCs/>
                <w:color w:val="000000"/>
                <w:sz w:val="24"/>
                <w:szCs w:val="24"/>
                <w:lang w:val="en-CA" w:eastAsia="en-CA"/>
              </w:rPr>
              <w:t>Description</w:t>
            </w:r>
          </w:p>
        </w:tc>
      </w:tr>
      <w:tr w:rsidR="007C0DB0" w:rsidRPr="007C09C4" w:rsidTr="002F400C">
        <w:trPr>
          <w:trHeight w:val="600"/>
        </w:trPr>
        <w:tc>
          <w:tcPr>
            <w:tcW w:w="1531" w:type="dxa"/>
            <w:vMerge w:val="restart"/>
            <w:tcBorders>
              <w:top w:val="single" w:sz="4" w:space="0" w:color="auto"/>
              <w:left w:val="single" w:sz="4" w:space="0" w:color="auto"/>
              <w:bottom w:val="single" w:sz="4" w:space="0" w:color="auto"/>
            </w:tcBorders>
            <w:shd w:val="clear" w:color="auto" w:fill="C9C9C9" w:themeFill="accent3" w:themeFillTint="99"/>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Academic excellence</w:t>
            </w:r>
          </w:p>
        </w:tc>
        <w:tc>
          <w:tcPr>
            <w:tcW w:w="1619" w:type="dxa"/>
            <w:vMerge w:val="restart"/>
            <w:tcBorders>
              <w:top w:val="single" w:sz="4" w:space="0" w:color="auto"/>
              <w:bottom w:val="single" w:sz="4" w:space="0" w:color="auto"/>
              <w:right w:val="single" w:sz="4" w:space="0" w:color="auto"/>
            </w:tcBorders>
            <w:shd w:val="clear" w:color="auto" w:fill="C9C9C9" w:themeFill="accent3" w:themeFillTint="99"/>
            <w:noWrap/>
            <w:vAlign w:val="center"/>
            <w:hideMark/>
          </w:tcPr>
          <w:p w:rsidR="007C0DB0" w:rsidRPr="007C09C4" w:rsidRDefault="007C0DB0" w:rsidP="00A80C80">
            <w:pPr>
              <w:spacing w:after="0"/>
              <w:jc w:val="center"/>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50%</w:t>
            </w:r>
          </w:p>
        </w:tc>
        <w:tc>
          <w:tcPr>
            <w:tcW w:w="73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bottom"/>
            <w:hideMark/>
          </w:tcPr>
          <w:p w:rsidR="007C0DB0" w:rsidRPr="007C09C4" w:rsidRDefault="007C0DB0" w:rsidP="00A80C80">
            <w:pPr>
              <w:spacing w:after="0"/>
              <w:rPr>
                <w:rFonts w:ascii="Calibri" w:eastAsia="Times New Roman" w:hAnsi="Calibri" w:cs="Calibri"/>
                <w:b/>
                <w:bCs/>
                <w:i/>
                <w:iCs/>
                <w:color w:val="000000"/>
                <w:sz w:val="22"/>
                <w:szCs w:val="22"/>
                <w:lang w:val="en-CA" w:eastAsia="en-CA"/>
              </w:rPr>
            </w:pPr>
            <w:r w:rsidRPr="007C09C4">
              <w:rPr>
                <w:rFonts w:ascii="Calibri" w:eastAsia="Times New Roman" w:hAnsi="Calibri" w:cs="Calibri"/>
                <w:b/>
                <w:bCs/>
                <w:i/>
                <w:iCs/>
                <w:color w:val="000000"/>
                <w:sz w:val="22"/>
                <w:szCs w:val="22"/>
                <w:lang w:val="en-CA" w:eastAsia="en-CA"/>
              </w:rPr>
              <w:t>As demonstrated by past academic results, transcripts, awards and distinctions.</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Indicators of academic excellence: </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academic record</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scholarships and awards held</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duration of previous studies</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type of program and courses pursued</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course load</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relative standing (if available)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bottom"/>
            <w:hideMark/>
          </w:tcPr>
          <w:p w:rsidR="007C0DB0" w:rsidRPr="007C09C4" w:rsidRDefault="007C0DB0" w:rsidP="00A80C80">
            <w:pPr>
              <w:spacing w:after="0"/>
              <w:jc w:val="right"/>
              <w:rPr>
                <w:rFonts w:ascii="Calibri" w:eastAsia="Times New Roman" w:hAnsi="Calibri" w:cs="Calibri"/>
                <w:b/>
                <w:bCs/>
                <w:color w:val="000000"/>
                <w:sz w:val="22"/>
                <w:szCs w:val="22"/>
                <w:lang w:val="en-CA" w:eastAsia="en-CA"/>
              </w:rPr>
            </w:pPr>
          </w:p>
        </w:tc>
      </w:tr>
      <w:tr w:rsidR="007C0DB0" w:rsidRPr="007C09C4" w:rsidTr="002F400C">
        <w:trPr>
          <w:trHeight w:val="782"/>
        </w:trPr>
        <w:tc>
          <w:tcPr>
            <w:tcW w:w="1531" w:type="dxa"/>
            <w:vMerge w:val="restart"/>
            <w:tcBorders>
              <w:top w:val="single" w:sz="4" w:space="0" w:color="auto"/>
              <w:left w:val="single" w:sz="4" w:space="0" w:color="auto"/>
              <w:bottom w:val="single" w:sz="4" w:space="0" w:color="auto"/>
            </w:tcBorders>
            <w:shd w:val="clear" w:color="auto" w:fill="A8D08D" w:themeFill="accent6" w:themeFillTint="99"/>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Research potential</w:t>
            </w:r>
          </w:p>
        </w:tc>
        <w:tc>
          <w:tcPr>
            <w:tcW w:w="1619" w:type="dxa"/>
            <w:vMerge w:val="restart"/>
            <w:tcBorders>
              <w:top w:val="single" w:sz="4" w:space="0" w:color="auto"/>
              <w:bottom w:val="single" w:sz="4" w:space="0" w:color="auto"/>
              <w:right w:val="single" w:sz="4" w:space="0" w:color="auto"/>
            </w:tcBorders>
            <w:shd w:val="clear" w:color="auto" w:fill="A8D08D" w:themeFill="accent6" w:themeFillTint="99"/>
            <w:noWrap/>
            <w:vAlign w:val="center"/>
            <w:hideMark/>
          </w:tcPr>
          <w:p w:rsidR="007C0DB0" w:rsidRPr="007C09C4" w:rsidRDefault="007C0DB0" w:rsidP="00A80C80">
            <w:pPr>
              <w:spacing w:after="0"/>
              <w:jc w:val="center"/>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30%</w:t>
            </w:r>
          </w:p>
        </w:tc>
        <w:tc>
          <w:tcPr>
            <w:tcW w:w="736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rsidR="007C0DB0" w:rsidRPr="007C09C4" w:rsidRDefault="007C0DB0" w:rsidP="00A80C80">
            <w:pPr>
              <w:spacing w:after="0"/>
              <w:rPr>
                <w:rFonts w:ascii="Calibri" w:eastAsia="Times New Roman" w:hAnsi="Calibri" w:cs="Calibri"/>
                <w:b/>
                <w:bCs/>
                <w:i/>
                <w:iCs/>
                <w:color w:val="000000"/>
                <w:sz w:val="22"/>
                <w:szCs w:val="22"/>
                <w:lang w:val="en-CA" w:eastAsia="en-CA"/>
              </w:rPr>
            </w:pPr>
            <w:r w:rsidRPr="007C09C4">
              <w:rPr>
                <w:rFonts w:ascii="Calibri" w:eastAsia="Times New Roman" w:hAnsi="Calibri" w:cs="Calibri"/>
                <w:b/>
                <w:bCs/>
                <w:i/>
                <w:iCs/>
                <w:color w:val="000000"/>
                <w:sz w:val="22"/>
                <w:szCs w:val="22"/>
                <w:lang w:val="en-CA" w:eastAsia="en-CA"/>
              </w:rPr>
              <w:t>As demonstrated by the applicant’s research history, their interest in discovery, the proposed research, its potential contribution to the advancement of knowledge in the field, and any anticipated</w:t>
            </w:r>
            <w:r>
              <w:rPr>
                <w:rFonts w:ascii="Calibri" w:eastAsia="Times New Roman" w:hAnsi="Calibri" w:cs="Calibri"/>
                <w:b/>
                <w:bCs/>
                <w:i/>
                <w:iCs/>
                <w:color w:val="000000"/>
                <w:sz w:val="22"/>
                <w:szCs w:val="22"/>
                <w:lang w:val="en-CA" w:eastAsia="en-CA"/>
              </w:rPr>
              <w:t xml:space="preserve"> </w:t>
            </w:r>
            <w:r w:rsidRPr="007C09C4">
              <w:rPr>
                <w:rFonts w:ascii="Calibri" w:eastAsia="Times New Roman" w:hAnsi="Calibri" w:cs="Calibri"/>
                <w:b/>
                <w:bCs/>
                <w:i/>
                <w:iCs/>
                <w:color w:val="000000"/>
                <w:sz w:val="22"/>
                <w:szCs w:val="22"/>
                <w:lang w:val="en-CA" w:eastAsia="en-CA"/>
              </w:rPr>
              <w:t>outcomes.</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Indicators of research potential: </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quality and originality of contributions to research and development</w:t>
            </w:r>
          </w:p>
        </w:tc>
      </w:tr>
      <w:tr w:rsidR="007C0DB0" w:rsidRPr="007C09C4" w:rsidTr="002F400C">
        <w:trPr>
          <w:trHeight w:val="305"/>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relevance of work experience and academic training to field of proposed research</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significance, feasibility and merit of proposed research</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judgment and ability to think critically</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ability to apply skills and knowledge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initiative and autonomy</w:t>
            </w:r>
          </w:p>
        </w:tc>
      </w:tr>
      <w:tr w:rsidR="007C0DB0" w:rsidRPr="007C09C4" w:rsidTr="002F400C">
        <w:trPr>
          <w:trHeight w:val="525"/>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research experience and achievements relative to expectations of someone with the candidate’s academic experience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shd w:val="clear" w:color="auto" w:fill="92D050"/>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rsidR="007C0DB0" w:rsidRPr="007C09C4" w:rsidRDefault="007C0DB0" w:rsidP="00A80C80">
            <w:pPr>
              <w:spacing w:after="0"/>
              <w:jc w:val="right"/>
              <w:rPr>
                <w:rFonts w:ascii="Calibri" w:eastAsia="Times New Roman" w:hAnsi="Calibri" w:cs="Calibri"/>
                <w:b/>
                <w:bCs/>
                <w:color w:val="000000"/>
                <w:sz w:val="22"/>
                <w:szCs w:val="22"/>
                <w:lang w:val="en-CA" w:eastAsia="en-CA"/>
              </w:rPr>
            </w:pPr>
          </w:p>
        </w:tc>
      </w:tr>
      <w:tr w:rsidR="007C0DB0" w:rsidRPr="007C09C4" w:rsidTr="002F400C">
        <w:trPr>
          <w:trHeight w:val="600"/>
        </w:trPr>
        <w:tc>
          <w:tcPr>
            <w:tcW w:w="1531" w:type="dxa"/>
            <w:vMerge w:val="restart"/>
            <w:tcBorders>
              <w:top w:val="single" w:sz="4" w:space="0" w:color="auto"/>
              <w:left w:val="single" w:sz="4" w:space="0" w:color="auto"/>
              <w:bottom w:val="single" w:sz="4" w:space="0" w:color="auto"/>
            </w:tcBorders>
            <w:shd w:val="clear" w:color="auto" w:fill="C9C9C9" w:themeFill="accent3" w:themeFillTint="99"/>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Personal characteristics and interpersonal skills</w:t>
            </w:r>
          </w:p>
        </w:tc>
        <w:tc>
          <w:tcPr>
            <w:tcW w:w="1619" w:type="dxa"/>
            <w:vMerge w:val="restart"/>
            <w:tcBorders>
              <w:top w:val="single" w:sz="4" w:space="0" w:color="auto"/>
              <w:bottom w:val="single" w:sz="4" w:space="0" w:color="auto"/>
              <w:right w:val="single" w:sz="4" w:space="0" w:color="auto"/>
            </w:tcBorders>
            <w:shd w:val="clear" w:color="auto" w:fill="C9C9C9" w:themeFill="accent3" w:themeFillTint="99"/>
            <w:noWrap/>
            <w:vAlign w:val="center"/>
            <w:hideMark/>
          </w:tcPr>
          <w:p w:rsidR="007C0DB0" w:rsidRPr="007C09C4" w:rsidRDefault="007C0DB0" w:rsidP="00A80C80">
            <w:pPr>
              <w:spacing w:after="0"/>
              <w:jc w:val="center"/>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20%</w:t>
            </w:r>
          </w:p>
        </w:tc>
        <w:tc>
          <w:tcPr>
            <w:tcW w:w="73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bottom"/>
            <w:hideMark/>
          </w:tcPr>
          <w:p w:rsidR="007C0DB0" w:rsidRPr="00FB344F" w:rsidRDefault="007C0DB0" w:rsidP="00A80C80">
            <w:pPr>
              <w:spacing w:after="0"/>
              <w:rPr>
                <w:rFonts w:ascii="Calibri" w:eastAsia="Times New Roman" w:hAnsi="Calibri" w:cs="Calibri"/>
                <w:b/>
                <w:bCs/>
                <w:i/>
                <w:iCs/>
                <w:color w:val="000000"/>
                <w:sz w:val="22"/>
                <w:szCs w:val="22"/>
                <w:lang w:val="en-CA" w:eastAsia="en-CA"/>
              </w:rPr>
            </w:pPr>
            <w:r w:rsidRPr="00FB344F">
              <w:rPr>
                <w:rFonts w:ascii="Calibri" w:eastAsia="Times New Roman" w:hAnsi="Calibri" w:cs="Calibri"/>
                <w:b/>
                <w:bCs/>
                <w:i/>
                <w:iCs/>
                <w:color w:val="000000"/>
                <w:sz w:val="22"/>
                <w:szCs w:val="22"/>
                <w:lang w:val="en-CA" w:eastAsia="en-CA"/>
              </w:rPr>
              <w:t xml:space="preserve">As demonstrated by the applicant’s past professional and relevant extracurricular interactions and collaborations. </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b/>
                <w:bCs/>
                <w:color w:val="000000"/>
                <w:sz w:val="22"/>
                <w:szCs w:val="22"/>
                <w:lang w:val="en-CA" w:eastAsia="en-CA"/>
              </w:rPr>
            </w:pPr>
            <w:r w:rsidRPr="007C09C4">
              <w:rPr>
                <w:rFonts w:ascii="Calibri" w:eastAsia="Times New Roman" w:hAnsi="Calibri" w:cs="Calibri"/>
                <w:b/>
                <w:bCs/>
                <w:color w:val="000000"/>
                <w:sz w:val="22"/>
                <w:szCs w:val="22"/>
                <w:lang w:val="en-CA" w:eastAsia="en-CA"/>
              </w:rPr>
              <w:t>Indicators of personal characteristics and interpersonal skills: </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work experience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leadership experience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project management including organizing conferences and meetings</w:t>
            </w:r>
          </w:p>
        </w:tc>
      </w:tr>
      <w:tr w:rsidR="007C0DB0" w:rsidRPr="007C09C4" w:rsidTr="002F400C">
        <w:trPr>
          <w:trHeight w:val="525"/>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ability or potential to communicate theoretical, technical and/or scientific concepts clearly and logically in written and oral formats </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involvement in academic life</w:t>
            </w:r>
          </w:p>
        </w:tc>
      </w:tr>
      <w:tr w:rsidR="007C0DB0" w:rsidRPr="007C09C4" w:rsidTr="002F400C">
        <w:trPr>
          <w:trHeight w:val="300"/>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0DB0" w:rsidRPr="007C09C4" w:rsidRDefault="007C0DB0" w:rsidP="002F400C">
            <w:pPr>
              <w:spacing w:after="0"/>
              <w:rPr>
                <w:rFonts w:ascii="Calibri" w:eastAsia="Times New Roman" w:hAnsi="Calibri" w:cs="Calibri"/>
                <w:color w:val="000000"/>
                <w:lang w:val="en-CA" w:eastAsia="en-CA"/>
              </w:rPr>
            </w:pPr>
            <w:r w:rsidRPr="007C09C4">
              <w:rPr>
                <w:rFonts w:ascii="Calibri" w:eastAsia="Times New Roman" w:hAnsi="Calibri" w:cs="Calibri"/>
                <w:color w:val="000000"/>
                <w:lang w:val="en-CA" w:eastAsia="en-CA"/>
              </w:rPr>
              <w:t>volunteerism/community outreach</w:t>
            </w:r>
          </w:p>
        </w:tc>
      </w:tr>
      <w:tr w:rsidR="007C0DB0" w:rsidRPr="007C09C4" w:rsidTr="002F400C">
        <w:trPr>
          <w:trHeight w:val="315"/>
        </w:trPr>
        <w:tc>
          <w:tcPr>
            <w:tcW w:w="1531" w:type="dxa"/>
            <w:vMerge/>
            <w:tcBorders>
              <w:top w:val="single" w:sz="4" w:space="0" w:color="auto"/>
              <w:left w:val="single" w:sz="4" w:space="0" w:color="auto"/>
              <w:bottom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1619" w:type="dxa"/>
            <w:vMerge/>
            <w:tcBorders>
              <w:top w:val="single" w:sz="4" w:space="0" w:color="auto"/>
              <w:bottom w:val="single" w:sz="4" w:space="0" w:color="auto"/>
              <w:right w:val="single" w:sz="4" w:space="0" w:color="auto"/>
            </w:tcBorders>
            <w:vAlign w:val="center"/>
            <w:hideMark/>
          </w:tcPr>
          <w:p w:rsidR="007C0DB0" w:rsidRPr="007C09C4" w:rsidRDefault="007C0DB0" w:rsidP="00A80C80">
            <w:pPr>
              <w:spacing w:after="0"/>
              <w:rPr>
                <w:rFonts w:ascii="Calibri" w:eastAsia="Times New Roman" w:hAnsi="Calibri" w:cs="Calibri"/>
                <w:b/>
                <w:bCs/>
                <w:color w:val="000000"/>
                <w:sz w:val="22"/>
                <w:szCs w:val="22"/>
                <w:lang w:val="en-CA" w:eastAsia="en-CA"/>
              </w:rPr>
            </w:pPr>
          </w:p>
        </w:tc>
        <w:tc>
          <w:tcPr>
            <w:tcW w:w="73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bottom"/>
            <w:hideMark/>
          </w:tcPr>
          <w:p w:rsidR="007C0DB0" w:rsidRPr="007C09C4" w:rsidRDefault="007C0DB0" w:rsidP="00A80C80">
            <w:pPr>
              <w:spacing w:after="0"/>
              <w:jc w:val="right"/>
              <w:rPr>
                <w:rFonts w:ascii="Calibri" w:eastAsia="Times New Roman" w:hAnsi="Calibri" w:cs="Calibri"/>
                <w:b/>
                <w:bCs/>
                <w:color w:val="000000"/>
                <w:sz w:val="22"/>
                <w:szCs w:val="22"/>
                <w:lang w:val="en-CA" w:eastAsia="en-CA"/>
              </w:rPr>
            </w:pPr>
          </w:p>
        </w:tc>
      </w:tr>
      <w:bookmarkEnd w:id="0"/>
      <w:bookmarkEnd w:id="1"/>
    </w:tbl>
    <w:p w:rsidR="007C0DB0" w:rsidRDefault="007C0DB0" w:rsidP="007C0DB0">
      <w:pPr>
        <w:rPr>
          <w:rFonts w:cs="Arial"/>
          <w:color w:val="000000" w:themeColor="text1"/>
        </w:rPr>
      </w:pPr>
    </w:p>
    <w:p w:rsidR="007C0DB0" w:rsidRDefault="007C0DB0" w:rsidP="007C0DB0">
      <w:pPr>
        <w:rPr>
          <w:rFonts w:cs="Arial"/>
          <w:color w:val="000000" w:themeColor="text1"/>
        </w:rPr>
      </w:pPr>
    </w:p>
    <w:p w:rsidR="007C0DB0" w:rsidRDefault="007C0DB0" w:rsidP="007C0DB0">
      <w:pPr>
        <w:rPr>
          <w:rFonts w:cs="Arial"/>
          <w:color w:val="000000" w:themeColor="text1"/>
        </w:rPr>
      </w:pPr>
    </w:p>
    <w:p w:rsidR="007C0DB0" w:rsidRPr="003D3211" w:rsidRDefault="007C0DB0" w:rsidP="002F400C">
      <w:pPr>
        <w:ind w:right="450"/>
        <w:jc w:val="center"/>
        <w:rPr>
          <w:rFonts w:cs="Arial"/>
          <w:b/>
          <w:i/>
        </w:rPr>
      </w:pPr>
      <w:r w:rsidRPr="003D3211">
        <w:rPr>
          <w:rFonts w:cs="Arial"/>
          <w:b/>
          <w:i/>
        </w:rPr>
        <w:t>Any Questions?  Please contact:</w:t>
      </w:r>
    </w:p>
    <w:p w:rsidR="007C0DB0" w:rsidRPr="00D5559F" w:rsidRDefault="007C0DB0" w:rsidP="002F400C">
      <w:pPr>
        <w:jc w:val="center"/>
        <w:rPr>
          <w:rFonts w:cs="Arial"/>
          <w:color w:val="000000" w:themeColor="text1"/>
        </w:rPr>
      </w:pPr>
      <w:r w:rsidRPr="003D3211">
        <w:rPr>
          <w:rFonts w:cs="Arial"/>
        </w:rPr>
        <w:t xml:space="preserve">E-mail:  </w:t>
      </w:r>
      <w:hyperlink r:id="rId10" w:history="1">
        <w:r w:rsidRPr="003D3211">
          <w:rPr>
            <w:rFonts w:cs="Arial"/>
            <w:b/>
            <w:color w:val="0000FF"/>
            <w:u w:val="single"/>
          </w:rPr>
          <w:t>lfs.gradmgr@ubc.ca</w:t>
        </w:r>
      </w:hyperlink>
      <w:r w:rsidRPr="003D3211">
        <w:rPr>
          <w:rFonts w:cs="Arial"/>
          <w:b/>
        </w:rPr>
        <w:t xml:space="preserve">  </w:t>
      </w:r>
    </w:p>
    <w:p w:rsidR="0055505C" w:rsidRDefault="002F400C" w:rsidP="002F400C">
      <w:pPr>
        <w:jc w:val="center"/>
      </w:pPr>
    </w:p>
    <w:sectPr w:rsidR="0055505C" w:rsidSect="007C0DB0">
      <w:footerReference w:type="default" r:id="rId11"/>
      <w:headerReference w:type="first" r:id="rId12"/>
      <w:footerReference w:type="first" r:id="rId13"/>
      <w:pgSz w:w="12240" w:h="15840" w:code="1"/>
      <w:pgMar w:top="720" w:right="720" w:bottom="720" w:left="720" w:header="8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400C">
      <w:pPr>
        <w:spacing w:after="0"/>
      </w:pPr>
      <w:r>
        <w:separator/>
      </w:r>
    </w:p>
  </w:endnote>
  <w:endnote w:type="continuationSeparator" w:id="0">
    <w:p w:rsidR="00000000" w:rsidRDefault="002F4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BE" w:rsidRDefault="002F400C" w:rsidP="005F5A39">
    <w:pPr>
      <w:pStyle w:val="Footer"/>
      <w:tabs>
        <w:tab w:val="clear" w:pos="8640"/>
        <w:tab w:val="right" w:pos="9090"/>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BE" w:rsidRDefault="007C0DB0">
    <w:pPr>
      <w:pStyle w:val="Footer"/>
      <w:rPr>
        <w:rFonts w:ascii="Verdana" w:hAnsi="Verdana"/>
        <w:sz w:val="18"/>
        <w:lang w:val="en-CA"/>
      </w:rPr>
    </w:pPr>
    <w:r w:rsidRPr="00FD02D4">
      <w:rPr>
        <w:rFonts w:ascii="Verdana" w:hAnsi="Verdana"/>
        <w:sz w:val="18"/>
        <w:lang w:val="en-CA"/>
      </w:rPr>
      <w:tab/>
    </w:r>
  </w:p>
  <w:p w:rsidR="00527CBE" w:rsidRDefault="002F400C">
    <w:pPr>
      <w:pStyle w:val="Footer"/>
      <w:rPr>
        <w:rFonts w:ascii="Verdana" w:hAnsi="Verdana"/>
        <w:sz w:val="18"/>
        <w:lang w:val="en-CA"/>
      </w:rPr>
    </w:pPr>
  </w:p>
  <w:p w:rsidR="00527CBE" w:rsidRDefault="007C0DB0" w:rsidP="00FD02D4">
    <w:pPr>
      <w:pStyle w:val="Footer"/>
    </w:pPr>
    <w:r>
      <w:rPr>
        <w:lang w:val="en-CA"/>
      </w:rPr>
      <w:tab/>
    </w:r>
    <w:r>
      <w:rPr>
        <w:lang w:val="en-CA"/>
      </w:rPr>
      <w:tab/>
    </w:r>
    <w:r w:rsidRPr="00FD02D4">
      <w:rPr>
        <w:lang w:val="en-CA"/>
      </w:rPr>
      <w:t xml:space="preserve">Page </w:t>
    </w:r>
    <w:r w:rsidRPr="00FD02D4">
      <w:rPr>
        <w:lang w:val="en-CA"/>
      </w:rPr>
      <w:fldChar w:fldCharType="begin"/>
    </w:r>
    <w:r w:rsidRPr="00FD02D4">
      <w:rPr>
        <w:lang w:val="en-CA"/>
      </w:rPr>
      <w:instrText xml:space="preserve"> PAGE </w:instrText>
    </w:r>
    <w:r w:rsidRPr="00FD02D4">
      <w:rPr>
        <w:lang w:val="en-CA"/>
      </w:rPr>
      <w:fldChar w:fldCharType="separate"/>
    </w:r>
    <w:r>
      <w:rPr>
        <w:noProof/>
        <w:lang w:val="en-CA"/>
      </w:rPr>
      <w:t>1</w:t>
    </w:r>
    <w:r w:rsidRPr="00FD02D4">
      <w:rPr>
        <w:lang w:val="en-CA"/>
      </w:rPr>
      <w:fldChar w:fldCharType="end"/>
    </w:r>
    <w:r w:rsidRPr="00FD02D4">
      <w:rPr>
        <w:lang w:val="en-CA"/>
      </w:rPr>
      <w:t xml:space="preserve"> of </w:t>
    </w:r>
    <w:r w:rsidRPr="00FD02D4">
      <w:rPr>
        <w:lang w:val="en-CA"/>
      </w:rPr>
      <w:fldChar w:fldCharType="begin"/>
    </w:r>
    <w:r w:rsidRPr="00FD02D4">
      <w:rPr>
        <w:lang w:val="en-CA"/>
      </w:rPr>
      <w:instrText xml:space="preserve"> NUMPAGES </w:instrText>
    </w:r>
    <w:r w:rsidRPr="00FD02D4">
      <w:rPr>
        <w:lang w:val="en-CA"/>
      </w:rPr>
      <w:fldChar w:fldCharType="separate"/>
    </w:r>
    <w:r>
      <w:rPr>
        <w:noProof/>
        <w:lang w:val="en-CA"/>
      </w:rPr>
      <w:t>1</w:t>
    </w:r>
    <w:r w:rsidRPr="00FD02D4">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400C">
      <w:pPr>
        <w:spacing w:after="0"/>
      </w:pPr>
      <w:r>
        <w:separator/>
      </w:r>
    </w:p>
  </w:footnote>
  <w:footnote w:type="continuationSeparator" w:id="0">
    <w:p w:rsidR="00000000" w:rsidRDefault="002F40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CBE" w:rsidRPr="005B2F28" w:rsidRDefault="002F400C" w:rsidP="005B2F28">
    <w:pPr>
      <w:pStyle w:val="Header"/>
      <w:tabs>
        <w:tab w:val="clear" w:pos="4320"/>
        <w:tab w:val="clear" w:pos="8640"/>
        <w:tab w:val="left" w:pos="5565"/>
      </w:tabs>
      <w:ind w:left="6480" w:right="-28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FE8E58"/>
    <w:lvl w:ilvl="0">
      <w:numFmt w:val="decimal"/>
      <w:lvlText w:val="*"/>
      <w:lvlJc w:val="left"/>
    </w:lvl>
  </w:abstractNum>
  <w:abstractNum w:abstractNumId="1" w15:restartNumberingAfterBreak="0">
    <w:nsid w:val="0DCE4554"/>
    <w:multiLevelType w:val="hybridMultilevel"/>
    <w:tmpl w:val="DA04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302694"/>
    <w:multiLevelType w:val="hybridMultilevel"/>
    <w:tmpl w:val="554224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A9807C3"/>
    <w:multiLevelType w:val="singleLevel"/>
    <w:tmpl w:val="5E44B9A8"/>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Mzc1sjSwMDUxszBW0lEKTi0uzszPAykwqgUARbwadiwAAAA="/>
  </w:docVars>
  <w:rsids>
    <w:rsidRoot w:val="00210010"/>
    <w:rsid w:val="00197AB2"/>
    <w:rsid w:val="00210010"/>
    <w:rsid w:val="00267571"/>
    <w:rsid w:val="002F400C"/>
    <w:rsid w:val="006571BA"/>
    <w:rsid w:val="007C0DB0"/>
    <w:rsid w:val="00F149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0FF4"/>
  <w15:chartTrackingRefBased/>
  <w15:docId w15:val="{34F5BECD-AEF8-479A-8DB8-06F76425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DB0"/>
    <w:pPr>
      <w:spacing w:after="120" w:line="240" w:lineRule="auto"/>
    </w:pPr>
    <w:rPr>
      <w:rFonts w:ascii="Arial" w:eastAsia="Arial Unicode MS" w:hAnsi="Arial" w:cs="Times New Roman"/>
      <w:sz w:val="20"/>
      <w:szCs w:val="20"/>
      <w:lang w:val="en-US"/>
    </w:rPr>
  </w:style>
  <w:style w:type="paragraph" w:styleId="Heading4">
    <w:name w:val="heading 4"/>
    <w:basedOn w:val="Normal"/>
    <w:next w:val="Normal"/>
    <w:link w:val="Heading4Char"/>
    <w:qFormat/>
    <w:rsid w:val="007C0DB0"/>
    <w:pPr>
      <w:keepNext/>
      <w:tabs>
        <w:tab w:val="left" w:pos="4709"/>
        <w:tab w:val="left" w:pos="7020"/>
      </w:tabs>
      <w:outlineLvl w:val="3"/>
    </w:pPr>
    <w:rPr>
      <w:b/>
      <w:b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C0DB0"/>
    <w:rPr>
      <w:rFonts w:ascii="Arial" w:eastAsia="Arial Unicode MS" w:hAnsi="Arial" w:cs="Times New Roman"/>
      <w:b/>
      <w:bCs/>
      <w:color w:val="999999"/>
      <w:sz w:val="18"/>
      <w:szCs w:val="20"/>
      <w:lang w:val="en-US"/>
    </w:rPr>
  </w:style>
  <w:style w:type="paragraph" w:styleId="Header">
    <w:name w:val="header"/>
    <w:basedOn w:val="Normal"/>
    <w:link w:val="HeaderChar"/>
    <w:rsid w:val="007C0DB0"/>
    <w:pPr>
      <w:tabs>
        <w:tab w:val="center" w:pos="4320"/>
        <w:tab w:val="right" w:pos="8640"/>
      </w:tabs>
    </w:pPr>
  </w:style>
  <w:style w:type="character" w:customStyle="1" w:styleId="HeaderChar">
    <w:name w:val="Header Char"/>
    <w:basedOn w:val="DefaultParagraphFont"/>
    <w:link w:val="Header"/>
    <w:rsid w:val="007C0DB0"/>
    <w:rPr>
      <w:rFonts w:ascii="Arial" w:eastAsia="Arial Unicode MS" w:hAnsi="Arial" w:cs="Times New Roman"/>
      <w:sz w:val="20"/>
      <w:szCs w:val="20"/>
      <w:lang w:val="en-US"/>
    </w:rPr>
  </w:style>
  <w:style w:type="paragraph" w:styleId="Footer">
    <w:name w:val="footer"/>
    <w:basedOn w:val="Normal"/>
    <w:link w:val="FooterChar"/>
    <w:rsid w:val="007C0DB0"/>
    <w:pPr>
      <w:tabs>
        <w:tab w:val="center" w:pos="4320"/>
        <w:tab w:val="right" w:pos="8640"/>
      </w:tabs>
    </w:pPr>
  </w:style>
  <w:style w:type="character" w:customStyle="1" w:styleId="FooterChar">
    <w:name w:val="Footer Char"/>
    <w:basedOn w:val="DefaultParagraphFont"/>
    <w:link w:val="Footer"/>
    <w:rsid w:val="007C0DB0"/>
    <w:rPr>
      <w:rFonts w:ascii="Arial" w:eastAsia="Arial Unicode MS" w:hAnsi="Arial" w:cs="Times New Roman"/>
      <w:sz w:val="20"/>
      <w:szCs w:val="20"/>
      <w:lang w:val="en-US"/>
    </w:rPr>
  </w:style>
  <w:style w:type="character" w:styleId="Hyperlink">
    <w:name w:val="Hyperlink"/>
    <w:basedOn w:val="DefaultParagraphFont"/>
    <w:rsid w:val="007C0DB0"/>
    <w:rPr>
      <w:color w:val="0000FF"/>
      <w:u w:val="single"/>
    </w:rPr>
  </w:style>
  <w:style w:type="table" w:styleId="TableGrid">
    <w:name w:val="Table Grid"/>
    <w:basedOn w:val="TableNormal"/>
    <w:uiPriority w:val="59"/>
    <w:rsid w:val="007C0DB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B0"/>
    <w:pPr>
      <w:spacing w:after="200" w:line="276" w:lineRule="auto"/>
      <w:ind w:left="720"/>
      <w:contextualSpacing/>
    </w:pPr>
    <w:rPr>
      <w:rFonts w:asciiTheme="minorHAnsi" w:eastAsiaTheme="minorHAnsi" w:hAnsiTheme="minorHAnsi" w:cstheme="minorBidi"/>
      <w:sz w:val="22"/>
      <w:szCs w:val="22"/>
    </w:rPr>
  </w:style>
  <w:style w:type="paragraph" w:customStyle="1" w:styleId="normalarial">
    <w:name w:val="normal arial"/>
    <w:basedOn w:val="Normal"/>
    <w:rsid w:val="007C0DB0"/>
    <w:pPr>
      <w:overflowPunct w:val="0"/>
      <w:autoSpaceDE w:val="0"/>
      <w:autoSpaceDN w:val="0"/>
      <w:adjustRightInd w:val="0"/>
      <w:spacing w:after="0"/>
      <w:ind w:right="144"/>
      <w:textAlignment w:val="baseline"/>
    </w:pPr>
    <w:rPr>
      <w:rFonts w:eastAsia="Times New Roman"/>
      <w:lang w:val="en-CA"/>
    </w:rPr>
  </w:style>
  <w:style w:type="character" w:styleId="UnresolvedMention">
    <w:name w:val="Unresolved Mention"/>
    <w:basedOn w:val="DefaultParagraphFont"/>
    <w:uiPriority w:val="99"/>
    <w:semiHidden/>
    <w:unhideWhenUsed/>
    <w:rsid w:val="00197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SD-BESCD_eng.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fs.gradasst@ubc.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fs.gradmgr@ubc.ca" TargetMode="External"/><Relationship Id="rId4" Type="http://schemas.openxmlformats.org/officeDocument/2006/relationships/webSettings" Target="webSettings.xml"/><Relationship Id="rId9" Type="http://schemas.openxmlformats.org/officeDocument/2006/relationships/hyperlink" Target="https://www.nserc-crsng.gc.ca/students-etudiants/pg-cs/cgsm-bescm_eng.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Small</dc:creator>
  <cp:keywords/>
  <dc:description/>
  <cp:lastModifiedBy>Shelley Small</cp:lastModifiedBy>
  <cp:revision>3</cp:revision>
  <dcterms:created xsi:type="dcterms:W3CDTF">2021-06-21T16:45:00Z</dcterms:created>
  <dcterms:modified xsi:type="dcterms:W3CDTF">2021-06-21T19:22:00Z</dcterms:modified>
</cp:coreProperties>
</file>