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5953"/>
        <w:gridCol w:w="5953"/>
      </w:tblGrid>
      <w:tr w:rsidR="00645945" w:rsidRPr="00645945" w14:paraId="44D0B1EE" w14:textId="77777777" w:rsidTr="00645945">
        <w:trPr>
          <w:trHeight w:val="639"/>
        </w:trPr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8D0B61" w14:textId="77777777" w:rsidR="00645945" w:rsidRPr="00645945" w:rsidRDefault="00645945" w:rsidP="00645945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val="en-CA"/>
              </w:rPr>
              <w:t>Gene</w:t>
            </w:r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FA75B5" w14:textId="77777777" w:rsidR="00645945" w:rsidRPr="00645945" w:rsidRDefault="00645945" w:rsidP="00645945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val="en-CA"/>
              </w:rPr>
              <w:t>Description</w:t>
            </w:r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</w:tcPr>
          <w:p w14:paraId="6282890D" w14:textId="77777777" w:rsidR="00645945" w:rsidRPr="00645945" w:rsidRDefault="00645945" w:rsidP="00645945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val="en-CA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val="en-CA"/>
              </w:rPr>
              <w:t>Details</w:t>
            </w:r>
          </w:p>
        </w:tc>
      </w:tr>
      <w:tr w:rsidR="00645945" w:rsidRPr="00645945" w14:paraId="69C95EE6" w14:textId="77777777" w:rsidTr="006D6486">
        <w:trPr>
          <w:trHeight w:val="581"/>
        </w:trPr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46DB1E" w14:textId="77777777" w:rsidR="00645945" w:rsidRPr="00645945" w:rsidRDefault="00542967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hyperlink r:id="rId5" w:tooltip="IGL@" w:history="1"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>IGL@</w:t>
              </w:r>
            </w:hyperlink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50D7B4" w14:textId="77777777" w:rsidR="00645945" w:rsidRPr="00645945" w:rsidRDefault="00645945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 xml:space="preserve">Asymmetric crying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facies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 xml:space="preserve"> (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Cayl</w:t>
            </w:r>
            <w:bookmarkStart w:id="0" w:name="_GoBack"/>
            <w:bookmarkEnd w:id="0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er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cardiofacial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 xml:space="preserve"> syndrome)</w:t>
            </w:r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6A6FEB01" w14:textId="77777777" w:rsidR="00645945" w:rsidRPr="00645945" w:rsidRDefault="00645945" w:rsidP="0064594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>Immunoglobulin lambda locus</w:t>
            </w: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, also known as </w:t>
            </w:r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>IGL@</w:t>
            </w: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, is a region on human </w:t>
            </w:r>
            <w:hyperlink r:id="rId6" w:tooltip="Chromosome 22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chromosome 22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that contains </w:t>
            </w:r>
            <w:hyperlink r:id="rId7" w:tooltip="Gene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genes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for the lambda </w:t>
            </w:r>
            <w:hyperlink r:id="rId8" w:tooltip="Antibody light chain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light chains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of </w:t>
            </w:r>
            <w:hyperlink r:id="rId9" w:tooltip="Antibody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antibodies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 (or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immunoglobulins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).</w:t>
            </w:r>
          </w:p>
          <w:p w14:paraId="629784AA" w14:textId="77777777" w:rsidR="00645945" w:rsidRPr="00645945" w:rsidRDefault="00645945" w:rsidP="0064594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Immunoglobulins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recognize foreign </w:t>
            </w:r>
            <w:hyperlink r:id="rId10" w:tooltip="Antigen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antigens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and initiate immune responses such as phagocytosis and the complement system.</w:t>
            </w:r>
          </w:p>
        </w:tc>
      </w:tr>
      <w:tr w:rsidR="00645945" w:rsidRPr="00645945" w14:paraId="1E7BF55E" w14:textId="77777777" w:rsidTr="006D6486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4A8208" w14:textId="77777777" w:rsidR="00645945" w:rsidRPr="00645945" w:rsidRDefault="00542967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hyperlink r:id="rId11" w:tooltip="TBX1" w:history="1"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>TBX1</w:t>
              </w:r>
            </w:hyperlink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6B5CFF" w14:textId="77777777" w:rsidR="00645945" w:rsidRPr="00645945" w:rsidRDefault="00645945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T-box 1</w:t>
            </w:r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57DB98A6" w14:textId="77777777" w:rsidR="00645945" w:rsidRPr="00645945" w:rsidRDefault="00645945" w:rsidP="0064594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>T-box transcription factor TBX1</w:t>
            </w: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also known as </w:t>
            </w:r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>T-box protein 1</w:t>
            </w: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and </w:t>
            </w:r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>testis-specific T-box protein</w:t>
            </w: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 is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a</w:t>
            </w:r>
            <w:hyperlink r:id="rId12" w:tooltip="Protein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protein</w:t>
              </w:r>
              <w:proofErr w:type="spellEnd"/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that in humans is encoded by the </w:t>
            </w:r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>TBX1</w:t>
            </w: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</w:t>
            </w:r>
            <w:hyperlink r:id="rId13" w:tooltip="Gene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gene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.</w:t>
            </w:r>
            <w:hyperlink r:id="rId14" w:anchor="cite_note-entrez-1" w:history="1">
              <w:r w:rsidRPr="00645945">
                <w:rPr>
                  <w:rFonts w:ascii="Helvetica" w:eastAsia="Times New Roman" w:hAnsi="Helvetica" w:cs="Times New Roman"/>
                  <w:color w:val="0B0080"/>
                  <w:sz w:val="17"/>
                  <w:szCs w:val="17"/>
                  <w:u w:val="single"/>
                  <w:shd w:val="clear" w:color="auto" w:fill="FFFFFF"/>
                  <w:vertAlign w:val="superscript"/>
                  <w:lang w:val="en-CA"/>
                </w:rPr>
                <w:t>[1]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Genes in the </w:t>
            </w:r>
            <w:hyperlink r:id="rId15" w:tooltip="T-box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T-box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family play important roles in the formation of tissues and organs during embryonic development.</w:t>
            </w:r>
          </w:p>
        </w:tc>
      </w:tr>
      <w:tr w:rsidR="00645945" w:rsidRPr="00645945" w14:paraId="4E160EC5" w14:textId="77777777" w:rsidTr="006D6486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80E18E" w14:textId="77777777" w:rsidR="00645945" w:rsidRPr="00645945" w:rsidRDefault="00542967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hyperlink r:id="rId16" w:tooltip="RTN4R" w:history="1"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>RTN4R</w:t>
              </w:r>
            </w:hyperlink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59C639" w14:textId="77777777" w:rsidR="00645945" w:rsidRPr="00645945" w:rsidRDefault="00542967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hyperlink r:id="rId17" w:tooltip="Reticulon 4 receptor" w:history="1">
              <w:proofErr w:type="spellStart"/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>Reticulon</w:t>
              </w:r>
              <w:proofErr w:type="spellEnd"/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 xml:space="preserve"> 4 receptor</w:t>
              </w:r>
            </w:hyperlink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2216570B" w14:textId="77777777" w:rsidR="00645945" w:rsidRPr="00645945" w:rsidRDefault="00645945" w:rsidP="0064594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This gene encodes the </w:t>
            </w:r>
            <w:hyperlink r:id="rId18" w:tooltip="Receptor (biochemistry)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receptor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for </w:t>
            </w:r>
            <w:hyperlink r:id="rId19" w:tooltip="Reticulon 4" w:history="1">
              <w:proofErr w:type="spellStart"/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reticulon</w:t>
              </w:r>
              <w:proofErr w:type="spellEnd"/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 xml:space="preserve"> 4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, </w:t>
            </w:r>
            <w:hyperlink r:id="rId20" w:tooltip="Oligodendrocyte" w:history="1">
              <w:proofErr w:type="spellStart"/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oligodendrocytemyelin</w:t>
              </w:r>
            </w:hyperlink>
            <w:hyperlink r:id="rId21" w:tooltip="Glycoprotein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glycoprotein</w:t>
              </w:r>
              <w:proofErr w:type="spellEnd"/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and </w:t>
            </w:r>
            <w:hyperlink r:id="rId22" w:tooltip="Myelin-associated glycoprotein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myelin-associated glycoprotein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. This receptor mediates </w:t>
            </w:r>
            <w:hyperlink r:id="rId23" w:tooltip="Axon guidance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axonal growth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inhibition and may play a role in regulating axonal regeneration and plasticity in the adult central nervous system.</w:t>
            </w:r>
          </w:p>
        </w:tc>
      </w:tr>
      <w:tr w:rsidR="00645945" w:rsidRPr="00645945" w14:paraId="6FC4DEFF" w14:textId="77777777" w:rsidTr="006D6486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418A3C" w14:textId="77777777" w:rsidR="00645945" w:rsidRPr="00645945" w:rsidRDefault="00542967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hyperlink r:id="rId24" w:tooltip="COMT" w:history="1"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>COMT</w:t>
              </w:r>
            </w:hyperlink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610480" w14:textId="77777777" w:rsidR="00645945" w:rsidRPr="00645945" w:rsidRDefault="00645945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proofErr w:type="gramStart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catechol</w:t>
            </w:r>
            <w:proofErr w:type="gramEnd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-O-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methyltransferase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 xml:space="preserve"> gene</w:t>
            </w:r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34F68123" w14:textId="77777777" w:rsidR="00645945" w:rsidRPr="00645945" w:rsidRDefault="00645945" w:rsidP="0064594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>Catechol-</w:t>
            </w:r>
            <w:r w:rsidRPr="00645945">
              <w:rPr>
                <w:rFonts w:ascii="Helvetica" w:eastAsia="Times New Roman" w:hAnsi="Helvetica" w:cs="Times New Roman"/>
                <w:b/>
                <w:bCs/>
                <w:i/>
                <w:iCs/>
                <w:color w:val="252525"/>
                <w:sz w:val="21"/>
                <w:szCs w:val="21"/>
                <w:shd w:val="clear" w:color="auto" w:fill="FFFFFF"/>
                <w:lang w:val="en-CA"/>
              </w:rPr>
              <w:t>O</w:t>
            </w:r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>-</w:t>
            </w:r>
            <w:proofErr w:type="spellStart"/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>methyltransferase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(</w:t>
            </w:r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>COMT</w:t>
            </w: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; </w:t>
            </w:r>
            <w:hyperlink r:id="rId25" w:tooltip="Enzyme Commission number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EC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</w:t>
            </w:r>
            <w:hyperlink r:id="rId26" w:history="1">
              <w:r w:rsidRPr="00645945">
                <w:rPr>
                  <w:rFonts w:ascii="Helvetica" w:eastAsia="Times New Roman" w:hAnsi="Helvetica" w:cs="Times New Roman"/>
                  <w:color w:val="663366"/>
                  <w:sz w:val="21"/>
                  <w:szCs w:val="21"/>
                  <w:u w:val="single"/>
                  <w:lang w:val="en-CA"/>
                </w:rPr>
                <w:t>2.1.1.6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) is one of several </w:t>
            </w:r>
            <w:hyperlink r:id="rId27" w:tooltip="Enzyme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enzymes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that degrade </w:t>
            </w:r>
            <w:hyperlink r:id="rId28" w:tooltip="Catecholamine" w:history="1">
              <w:proofErr w:type="spellStart"/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catecholamines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such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as </w:t>
            </w:r>
            <w:hyperlink r:id="rId29" w:tooltip="Dopamine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dopamine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, </w:t>
            </w:r>
            <w:hyperlink r:id="rId30" w:tooltip="Epinephrine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epinephrine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, and </w:t>
            </w:r>
            <w:hyperlink r:id="rId31" w:tooltip="Norepinephrine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norepinephrine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. In humans, </w:t>
            </w:r>
            <w:proofErr w:type="gram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catechol-</w:t>
            </w:r>
            <w:r w:rsidRPr="00645945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  <w:shd w:val="clear" w:color="auto" w:fill="FFFFFF"/>
                <w:lang w:val="en-CA"/>
              </w:rPr>
              <w:t>O</w:t>
            </w: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-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methyltransferase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protein is encoded by the </w:t>
            </w:r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>COMT</w:t>
            </w: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</w:t>
            </w:r>
            <w:hyperlink r:id="rId32" w:tooltip="Gene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gene</w:t>
              </w:r>
              <w:proofErr w:type="gramEnd"/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.</w:t>
            </w:r>
            <w:hyperlink r:id="rId33" w:anchor="cite_note-pmid1572656-2" w:history="1">
              <w:r w:rsidRPr="00645945">
                <w:rPr>
                  <w:rFonts w:ascii="Helvetica" w:eastAsia="Times New Roman" w:hAnsi="Helvetica" w:cs="Times New Roman"/>
                  <w:color w:val="0B0080"/>
                  <w:sz w:val="17"/>
                  <w:szCs w:val="17"/>
                  <w:u w:val="single"/>
                  <w:shd w:val="clear" w:color="auto" w:fill="FFFFFF"/>
                  <w:vertAlign w:val="superscript"/>
                  <w:lang w:val="en-CA"/>
                </w:rPr>
                <w:t>[2]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 As the regulation of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catecholamines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is impaired in a number of medical conditions, several pharmaceutical drugs target COMT to alter its activity and therefore the availability of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catecholamines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.</w:t>
            </w:r>
          </w:p>
        </w:tc>
      </w:tr>
      <w:tr w:rsidR="00645945" w:rsidRPr="00645945" w14:paraId="0AD8F953" w14:textId="77777777" w:rsidTr="006D6486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ABE12F" w14:textId="77777777" w:rsidR="00645945" w:rsidRPr="00645945" w:rsidRDefault="00542967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hyperlink r:id="rId34" w:tooltip="NEFH" w:history="1"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>NEFH</w:t>
              </w:r>
            </w:hyperlink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EAAE5A" w14:textId="77777777" w:rsidR="00645945" w:rsidRPr="00645945" w:rsidRDefault="00645945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proofErr w:type="spellStart"/>
            <w:proofErr w:type="gramStart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neurofilament</w:t>
            </w:r>
            <w:proofErr w:type="spellEnd"/>
            <w:proofErr w:type="gramEnd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, heavy polypeptide 200kDa</w:t>
            </w:r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102F8A4A" w14:textId="77777777" w:rsidR="00645945" w:rsidRPr="00645945" w:rsidRDefault="00645945" w:rsidP="0064594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>NEFH</w:t>
            </w: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is a human gene located on </w:t>
            </w:r>
            <w:hyperlink r:id="rId35" w:tooltip="Chromosome 22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chromosome 22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that stands for "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neurofilament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, heavy polypeptide". It is the gene for a heavy protein subunit that is combined with medium and light subunits to make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neurofilaments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, which form the framework for nerve cells.</w:t>
            </w:r>
          </w:p>
        </w:tc>
      </w:tr>
      <w:tr w:rsidR="00645945" w:rsidRPr="00645945" w14:paraId="16B7D4A5" w14:textId="77777777" w:rsidTr="006D6486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E1A0B8" w14:textId="77777777" w:rsidR="00645945" w:rsidRPr="00645945" w:rsidRDefault="00542967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hyperlink r:id="rId36" w:tooltip="CHEK2" w:history="1"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>CHEK2</w:t>
              </w:r>
            </w:hyperlink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DF9C32" w14:textId="77777777" w:rsidR="00645945" w:rsidRPr="00645945" w:rsidRDefault="00645945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 xml:space="preserve">CHK2 checkpoint homolog (S.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pombe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)</w:t>
            </w:r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5F77EC79" w14:textId="77777777" w:rsidR="00645945" w:rsidRPr="00645945" w:rsidRDefault="00645945" w:rsidP="0064594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The </w:t>
            </w:r>
            <w:hyperlink r:id="rId37" w:tooltip="Protein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protein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encoded by this gene, CHK2, is a </w:t>
            </w:r>
            <w:hyperlink r:id="rId38" w:tooltip="Protein kinase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protein kinase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that is activated in response to </w:t>
            </w:r>
            <w:hyperlink r:id="rId39" w:tooltip="DNA damage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DNA damage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and is involved in </w:t>
            </w:r>
            <w:hyperlink r:id="rId40" w:tooltip="Cell cycle checkpoint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cell cycle arrest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.</w:t>
            </w:r>
          </w:p>
        </w:tc>
      </w:tr>
      <w:tr w:rsidR="00645945" w:rsidRPr="00645945" w14:paraId="0EA85550" w14:textId="77777777" w:rsidTr="006D6486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658CFE" w14:textId="77777777" w:rsidR="00645945" w:rsidRPr="00645945" w:rsidRDefault="00542967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hyperlink r:id="rId41" w:tooltip="NF2 (gene)" w:history="1"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>NF2</w:t>
              </w:r>
            </w:hyperlink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DEB7F3" w14:textId="77777777" w:rsidR="00645945" w:rsidRPr="00645945" w:rsidRDefault="00645945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proofErr w:type="spellStart"/>
            <w:proofErr w:type="gramStart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neurofibromin</w:t>
            </w:r>
            <w:proofErr w:type="spellEnd"/>
            <w:proofErr w:type="gramEnd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 xml:space="preserve"> 2</w:t>
            </w:r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5243D0A6" w14:textId="77777777" w:rsidR="00645945" w:rsidRPr="00645945" w:rsidRDefault="00645945" w:rsidP="0064594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>Merlin</w:t>
            </w: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(also called </w:t>
            </w:r>
            <w:proofErr w:type="spellStart"/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>Neurofibromin</w:t>
            </w:r>
            <w:proofErr w:type="spellEnd"/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2</w:t>
            </w: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or </w:t>
            </w:r>
            <w:proofErr w:type="spellStart"/>
            <w:r w:rsidRPr="00645945">
              <w:rPr>
                <w:rFonts w:ascii="Helvetica" w:eastAsia="Times New Roman" w:hAnsi="Helvetica" w:cs="Times New Roman"/>
                <w:b/>
                <w:bCs/>
                <w:color w:val="252525"/>
                <w:sz w:val="21"/>
                <w:szCs w:val="21"/>
                <w:shd w:val="clear" w:color="auto" w:fill="FFFFFF"/>
                <w:lang w:val="en-CA"/>
              </w:rPr>
              <w:t>schwannomin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) is a </w:t>
            </w:r>
            <w:hyperlink r:id="rId42" w:tooltip="Cytoskeletal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cytoskeletal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</w:t>
            </w:r>
            <w:hyperlink r:id="rId43" w:tooltip="Protein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protein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. In humans, it is a </w:t>
            </w:r>
            <w:hyperlink r:id="rId44" w:tooltip="Tumor suppressor gene" w:history="1">
              <w:proofErr w:type="spellStart"/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tumor</w:t>
              </w:r>
              <w:proofErr w:type="spellEnd"/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 xml:space="preserve"> suppressor protein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involved in </w:t>
            </w:r>
            <w:hyperlink r:id="rId45" w:tooltip="Neurofibromatosis type II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Neurofibromatosis type II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.</w:t>
            </w:r>
            <w:hyperlink r:id="rId46" w:anchor="cite_note-pmid8379998-1" w:history="1">
              <w:r w:rsidRPr="00645945">
                <w:rPr>
                  <w:rFonts w:ascii="Helvetica" w:eastAsia="Times New Roman" w:hAnsi="Helvetica" w:cs="Times New Roman"/>
                  <w:color w:val="0B0080"/>
                  <w:sz w:val="17"/>
                  <w:szCs w:val="17"/>
                  <w:u w:val="single"/>
                  <w:shd w:val="clear" w:color="auto" w:fill="FFFFFF"/>
                  <w:vertAlign w:val="superscript"/>
                  <w:lang w:val="en-CA"/>
                </w:rPr>
                <w:t>[1]</w:t>
              </w:r>
            </w:hyperlink>
            <w:hyperlink r:id="rId47" w:anchor="cite_note-pmid16324214-2" w:history="1">
              <w:r w:rsidRPr="00645945">
                <w:rPr>
                  <w:rFonts w:ascii="Helvetica" w:eastAsia="Times New Roman" w:hAnsi="Helvetica" w:cs="Times New Roman"/>
                  <w:color w:val="0B0080"/>
                  <w:sz w:val="17"/>
                  <w:szCs w:val="17"/>
                  <w:u w:val="single"/>
                  <w:shd w:val="clear" w:color="auto" w:fill="FFFFFF"/>
                  <w:vertAlign w:val="superscript"/>
                  <w:lang w:val="en-CA"/>
                </w:rPr>
                <w:t>[2]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 Sequence data </w:t>
            </w: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lastRenderedPageBreak/>
              <w:t>reveal its similarity to the </w:t>
            </w:r>
            <w:hyperlink r:id="rId48" w:tooltip="ERM protein family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ERM protein family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.</w:t>
            </w:r>
          </w:p>
        </w:tc>
      </w:tr>
      <w:tr w:rsidR="00645945" w:rsidRPr="00645945" w14:paraId="7850D3A0" w14:textId="77777777" w:rsidTr="006D6486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DD8BD7" w14:textId="77777777" w:rsidR="00645945" w:rsidRPr="00645945" w:rsidRDefault="00542967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hyperlink r:id="rId49" w:tooltip="SOX10" w:history="1"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>SOX10</w:t>
              </w:r>
            </w:hyperlink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4AB6A2" w14:textId="77777777" w:rsidR="00645945" w:rsidRPr="00645945" w:rsidRDefault="00645945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SRY (sex determining region Y)-box 10</w:t>
            </w:r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5D4D44AF" w14:textId="77777777" w:rsidR="00645945" w:rsidRPr="00645945" w:rsidRDefault="00645945" w:rsidP="0064594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This gene encodes a member of the </w:t>
            </w:r>
            <w:hyperlink r:id="rId50" w:tooltip="SOX gene family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SOX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(SRY-related HMG-box) family of </w:t>
            </w:r>
            <w:hyperlink r:id="rId51" w:tooltip="Transcription factor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transcription factors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involved in the regulation of </w:t>
            </w:r>
            <w:hyperlink r:id="rId52" w:tooltip="Embryonic development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embryonic development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and in the determination of the </w:t>
            </w:r>
            <w:hyperlink r:id="rId53" w:tooltip="Cell fate determination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cell fate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. The encoded protein may act as a transcriptional activator after forming a protein complex with other proteins. This protein acts as a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nucleocytoplasmic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shuttle protein and is important for </w:t>
            </w:r>
            <w:hyperlink r:id="rId54" w:tooltip="Neural crest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neural crest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and </w:t>
            </w:r>
            <w:hyperlink r:id="rId55" w:tooltip="Peripheral nervous system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 xml:space="preserve">peripheral nervous </w:t>
              </w:r>
              <w:proofErr w:type="spellStart"/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system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development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.</w:t>
            </w:r>
          </w:p>
        </w:tc>
      </w:tr>
      <w:tr w:rsidR="00645945" w:rsidRPr="00645945" w14:paraId="13724D47" w14:textId="77777777" w:rsidTr="006D6486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D38A19" w14:textId="77777777" w:rsidR="00645945" w:rsidRPr="00645945" w:rsidRDefault="00542967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hyperlink r:id="rId56" w:tooltip="APOL1" w:history="1"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>APOL1</w:t>
              </w:r>
            </w:hyperlink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65CD5C" w14:textId="77777777" w:rsidR="00645945" w:rsidRPr="00645945" w:rsidRDefault="00645945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proofErr w:type="spellStart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Apolipoprotein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 xml:space="preserve"> L1</w:t>
            </w:r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3983E198" w14:textId="77777777" w:rsidR="00645945" w:rsidRPr="00645945" w:rsidRDefault="00645945" w:rsidP="0064594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Apolipoprotein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L1 (apoL1) is a minor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apoprotein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component of </w:t>
            </w:r>
            <w:hyperlink r:id="rId57" w:tooltip="High-density lipoprotein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HDL (High-density lipoprotein)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or 'good cholesterol' which is synthesized in the liver and also in many other tissues, including pancreas, kidney, and brain. </w:t>
            </w:r>
          </w:p>
        </w:tc>
      </w:tr>
      <w:tr w:rsidR="00645945" w:rsidRPr="00645945" w14:paraId="61CA9E4F" w14:textId="77777777" w:rsidTr="006D6486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0B5F8E" w14:textId="77777777" w:rsidR="00645945" w:rsidRPr="00645945" w:rsidRDefault="00542967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hyperlink r:id="rId58" w:tooltip="EP300" w:history="1"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>EP300</w:t>
              </w:r>
            </w:hyperlink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5D9E5C" w14:textId="77777777" w:rsidR="00645945" w:rsidRPr="00645945" w:rsidRDefault="00645945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E1A binding protein p300</w:t>
            </w:r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5090E5BF" w14:textId="77777777" w:rsidR="00645945" w:rsidRPr="00645945" w:rsidRDefault="00645945" w:rsidP="0064594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This protein regulates the activity of many genes in tissues throughout the body. It plays an essential role in regulating </w:t>
            </w:r>
            <w:hyperlink r:id="rId59" w:tooltip="Cell growth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cell growth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and </w:t>
            </w:r>
            <w:hyperlink r:id="rId60" w:tooltip="Cell division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division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, prompting cells to mature and assume specialized functions (differentiate), and preventing the growth of cancerous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tumors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.</w:t>
            </w:r>
          </w:p>
        </w:tc>
      </w:tr>
      <w:tr w:rsidR="00645945" w:rsidRPr="00645945" w14:paraId="37A0DA61" w14:textId="77777777" w:rsidTr="006D6486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28394E" w14:textId="77777777" w:rsidR="00645945" w:rsidRPr="00645945" w:rsidRDefault="00542967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hyperlink r:id="rId61" w:tooltip="WNT7B" w:history="1"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>WNT7B</w:t>
              </w:r>
            </w:hyperlink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2B41CC" w14:textId="77777777" w:rsidR="00645945" w:rsidRPr="00645945" w:rsidRDefault="00645945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Wingless-type MMTV integration site family, member 7B</w:t>
            </w:r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0D880E7F" w14:textId="77777777" w:rsidR="00645945" w:rsidRPr="00645945" w:rsidRDefault="00645945" w:rsidP="0064594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The WNT gene family consists of structurally related genes that encode secreted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signaling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proteins. These proteins have been implicated in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oncogenesis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and in several developmental processes, including regulation of cell fate and patterning during embryogenesis.</w:t>
            </w:r>
          </w:p>
        </w:tc>
      </w:tr>
      <w:tr w:rsidR="00645945" w:rsidRPr="00645945" w14:paraId="0098090D" w14:textId="77777777" w:rsidTr="006D6486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E69694" w14:textId="77777777" w:rsidR="00645945" w:rsidRPr="00645945" w:rsidRDefault="00542967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hyperlink r:id="rId62" w:tooltip="SHANK3" w:history="1"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>SHANK3</w:t>
              </w:r>
            </w:hyperlink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2B6F5B" w14:textId="77777777" w:rsidR="00645945" w:rsidRPr="00645945" w:rsidRDefault="00645945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 xml:space="preserve">SH3 and multiple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ankyrin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 xml:space="preserve"> repeat domains 3</w:t>
            </w:r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325BA364" w14:textId="77777777" w:rsidR="00645945" w:rsidRPr="00645945" w:rsidRDefault="00645945" w:rsidP="0064594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This gene is a member of the Shank gene family. Shank proteins are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multidomain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scaffold proteins of the postsynaptic density that connect </w:t>
            </w:r>
            <w:hyperlink r:id="rId63" w:tooltip="Neurotransmitter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neurotransmitter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 receptors, ion channels, and other membrane proteins to the actin cytoskeleton and G-protein-coupled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signaling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pathways. Shank proteins also play a role in </w:t>
            </w:r>
            <w:hyperlink r:id="rId64" w:tooltip="Synapse" w:history="1">
              <w:proofErr w:type="spellStart"/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synapse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formation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and </w:t>
            </w:r>
            <w:hyperlink r:id="rId65" w:tooltip="Dendritic spine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dendritic spine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 maturation.</w:t>
            </w:r>
          </w:p>
        </w:tc>
      </w:tr>
      <w:tr w:rsidR="00645945" w:rsidRPr="00645945" w14:paraId="21CCE2B9" w14:textId="77777777" w:rsidTr="006D6486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9FE367" w14:textId="77777777" w:rsidR="00645945" w:rsidRPr="00645945" w:rsidRDefault="00542967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hyperlink r:id="rId66" w:tooltip="SULT4A1" w:history="1"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>SULT4A1</w:t>
              </w:r>
            </w:hyperlink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E3E2A7" w14:textId="77777777" w:rsidR="00645945" w:rsidRPr="00645945" w:rsidRDefault="00645945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proofErr w:type="spellStart"/>
            <w:proofErr w:type="gramStart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sulfotransferase</w:t>
            </w:r>
            <w:proofErr w:type="spellEnd"/>
            <w:proofErr w:type="gramEnd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 xml:space="preserve"> family 4A, member 1</w:t>
            </w:r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4C7AE5C0" w14:textId="77777777" w:rsidR="00645945" w:rsidRPr="00645945" w:rsidRDefault="00645945" w:rsidP="0064594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This gene encodes a member of the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sulfotransferase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family. The encoded protein is a brain-specific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sulfotransferase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believed to be involved in the metabolism of neurotransmitters. Polymorphisms in this gene may be associated with susceptibility to </w:t>
            </w:r>
            <w:hyperlink r:id="rId67" w:tooltip="Schizophrenia" w:history="1">
              <w:r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shd w:val="clear" w:color="auto" w:fill="FFFFFF"/>
                  <w:lang w:val="en-CA"/>
                </w:rPr>
                <w:t>schizophrenia</w:t>
              </w:r>
            </w:hyperlink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.</w:t>
            </w:r>
          </w:p>
        </w:tc>
      </w:tr>
      <w:tr w:rsidR="00645945" w:rsidRPr="00645945" w14:paraId="6AE2F245" w14:textId="77777777" w:rsidTr="006D6486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22A33B" w14:textId="77777777" w:rsidR="00645945" w:rsidRPr="00645945" w:rsidRDefault="00542967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hyperlink r:id="rId68" w:tooltip="PARVB" w:history="1">
              <w:r w:rsidR="00645945" w:rsidRPr="00645945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u w:val="single"/>
                  <w:lang w:val="en-CA"/>
                </w:rPr>
                <w:t>PARVB</w:t>
              </w:r>
            </w:hyperlink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DCE7F9" w14:textId="77777777" w:rsidR="00645945" w:rsidRPr="00645945" w:rsidRDefault="00645945" w:rsidP="00645945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</w:pPr>
            <w:proofErr w:type="spellStart"/>
            <w:proofErr w:type="gramStart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>parvin</w:t>
            </w:r>
            <w:proofErr w:type="spellEnd"/>
            <w:proofErr w:type="gramEnd"/>
            <w:r w:rsidRPr="00645945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CA"/>
              </w:rPr>
              <w:t xml:space="preserve"> beta (cytoskeleton organization and cell adhesion)</w:t>
            </w:r>
          </w:p>
        </w:tc>
        <w:tc>
          <w:tcPr>
            <w:tcW w:w="59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</w:tcPr>
          <w:p w14:paraId="20BC179F" w14:textId="77777777" w:rsidR="00645945" w:rsidRPr="00645945" w:rsidRDefault="00645945" w:rsidP="00645945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Members of the </w:t>
            </w:r>
            <w:proofErr w:type="spellStart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>parvin</w:t>
            </w:r>
            <w:proofErr w:type="spellEnd"/>
            <w:r w:rsidRPr="00645945">
              <w:rPr>
                <w:rFonts w:ascii="Helvetica" w:eastAsia="Times New Roman" w:hAnsi="Helvetica" w:cs="Times New Roman"/>
                <w:color w:val="252525"/>
                <w:sz w:val="21"/>
                <w:szCs w:val="21"/>
                <w:shd w:val="clear" w:color="auto" w:fill="FFFFFF"/>
                <w:lang w:val="en-CA"/>
              </w:rPr>
              <w:t xml:space="preserve"> family, including PARVB, are actin-binding proteins associated with focal contacts.</w:t>
            </w:r>
          </w:p>
        </w:tc>
      </w:tr>
    </w:tbl>
    <w:p w14:paraId="1F753429" w14:textId="77777777" w:rsidR="00843CC5" w:rsidRPr="00645945" w:rsidRDefault="00542967" w:rsidP="00645945">
      <w:r>
        <w:rPr>
          <w:noProof/>
        </w:rPr>
        <w:drawing>
          <wp:anchor distT="0" distB="0" distL="114300" distR="114300" simplePos="0" relativeHeight="251658240" behindDoc="0" locked="0" layoutInCell="1" allowOverlap="1" wp14:anchorId="6E5EBC5E" wp14:editId="436D5A2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1000" cy="6852285"/>
            <wp:effectExtent l="0" t="9843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56" r="47777"/>
                    <a:stretch/>
                  </pic:blipFill>
                  <pic:spPr bwMode="auto">
                    <a:xfrm rot="16200000">
                      <a:off x="0" y="0"/>
                      <a:ext cx="381000" cy="68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3CC5" w:rsidRPr="00645945" w:rsidSect="0064594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45"/>
    <w:rsid w:val="00542967"/>
    <w:rsid w:val="00645945"/>
    <w:rsid w:val="008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3E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459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5945"/>
    <w:rPr>
      <w:b/>
      <w:bCs/>
    </w:rPr>
  </w:style>
  <w:style w:type="character" w:customStyle="1" w:styleId="apple-converted-space">
    <w:name w:val="apple-converted-space"/>
    <w:basedOn w:val="DefaultParagraphFont"/>
    <w:rsid w:val="00645945"/>
  </w:style>
  <w:style w:type="paragraph" w:styleId="BalloonText">
    <w:name w:val="Balloon Text"/>
    <w:basedOn w:val="Normal"/>
    <w:link w:val="BalloonTextChar"/>
    <w:uiPriority w:val="99"/>
    <w:semiHidden/>
    <w:unhideWhenUsed/>
    <w:rsid w:val="00542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459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5945"/>
    <w:rPr>
      <w:b/>
      <w:bCs/>
    </w:rPr>
  </w:style>
  <w:style w:type="character" w:customStyle="1" w:styleId="apple-converted-space">
    <w:name w:val="apple-converted-space"/>
    <w:basedOn w:val="DefaultParagraphFont"/>
    <w:rsid w:val="00645945"/>
  </w:style>
  <w:style w:type="paragraph" w:styleId="BalloonText">
    <w:name w:val="Balloon Text"/>
    <w:basedOn w:val="Normal"/>
    <w:link w:val="BalloonTextChar"/>
    <w:uiPriority w:val="99"/>
    <w:semiHidden/>
    <w:unhideWhenUsed/>
    <w:rsid w:val="00542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Gene" TargetMode="External"/><Relationship Id="rId14" Type="http://schemas.openxmlformats.org/officeDocument/2006/relationships/hyperlink" Target="http://en.wikipedia.org/wiki/TBX1" TargetMode="External"/><Relationship Id="rId15" Type="http://schemas.openxmlformats.org/officeDocument/2006/relationships/hyperlink" Target="http://en.wikipedia.org/wiki/T-box" TargetMode="External"/><Relationship Id="rId16" Type="http://schemas.openxmlformats.org/officeDocument/2006/relationships/hyperlink" Target="http://en.wikipedia.org/wiki/RTN4R" TargetMode="External"/><Relationship Id="rId17" Type="http://schemas.openxmlformats.org/officeDocument/2006/relationships/hyperlink" Target="http://en.wikipedia.org/wiki/Reticulon_4_receptor" TargetMode="External"/><Relationship Id="rId18" Type="http://schemas.openxmlformats.org/officeDocument/2006/relationships/hyperlink" Target="http://en.wikipedia.org/wiki/Receptor_(biochemistry)" TargetMode="External"/><Relationship Id="rId19" Type="http://schemas.openxmlformats.org/officeDocument/2006/relationships/hyperlink" Target="http://en.wikipedia.org/wiki/Reticulon_4" TargetMode="External"/><Relationship Id="rId63" Type="http://schemas.openxmlformats.org/officeDocument/2006/relationships/hyperlink" Target="http://en.wikipedia.org/wiki/Neurotransmitter" TargetMode="External"/><Relationship Id="rId64" Type="http://schemas.openxmlformats.org/officeDocument/2006/relationships/hyperlink" Target="http://en.wikipedia.org/wiki/Synapse" TargetMode="External"/><Relationship Id="rId65" Type="http://schemas.openxmlformats.org/officeDocument/2006/relationships/hyperlink" Target="http://en.wikipedia.org/wiki/Dendritic_spine" TargetMode="External"/><Relationship Id="rId66" Type="http://schemas.openxmlformats.org/officeDocument/2006/relationships/hyperlink" Target="http://en.wikipedia.org/wiki/SULT4A1" TargetMode="External"/><Relationship Id="rId67" Type="http://schemas.openxmlformats.org/officeDocument/2006/relationships/hyperlink" Target="http://en.wikipedia.org/wiki/Schizophrenia" TargetMode="External"/><Relationship Id="rId68" Type="http://schemas.openxmlformats.org/officeDocument/2006/relationships/hyperlink" Target="http://en.wikipedia.org/wiki/PARVB" TargetMode="External"/><Relationship Id="rId69" Type="http://schemas.openxmlformats.org/officeDocument/2006/relationships/image" Target="media/image1.png"/><Relationship Id="rId50" Type="http://schemas.openxmlformats.org/officeDocument/2006/relationships/hyperlink" Target="http://en.wikipedia.org/wiki/SOX_gene_family" TargetMode="External"/><Relationship Id="rId51" Type="http://schemas.openxmlformats.org/officeDocument/2006/relationships/hyperlink" Target="http://en.wikipedia.org/wiki/Transcription_factor" TargetMode="External"/><Relationship Id="rId52" Type="http://schemas.openxmlformats.org/officeDocument/2006/relationships/hyperlink" Target="http://en.wikipedia.org/wiki/Embryonic_development" TargetMode="External"/><Relationship Id="rId53" Type="http://schemas.openxmlformats.org/officeDocument/2006/relationships/hyperlink" Target="http://en.wikipedia.org/wiki/Cell_fate_determination" TargetMode="External"/><Relationship Id="rId54" Type="http://schemas.openxmlformats.org/officeDocument/2006/relationships/hyperlink" Target="http://en.wikipedia.org/wiki/Neural_crest" TargetMode="External"/><Relationship Id="rId55" Type="http://schemas.openxmlformats.org/officeDocument/2006/relationships/hyperlink" Target="http://en.wikipedia.org/wiki/Peripheral_nervous_system" TargetMode="External"/><Relationship Id="rId56" Type="http://schemas.openxmlformats.org/officeDocument/2006/relationships/hyperlink" Target="http://en.wikipedia.org/wiki/APOL1" TargetMode="External"/><Relationship Id="rId57" Type="http://schemas.openxmlformats.org/officeDocument/2006/relationships/hyperlink" Target="http://en.wikipedia.org/wiki/High-density_lipoprotein" TargetMode="External"/><Relationship Id="rId58" Type="http://schemas.openxmlformats.org/officeDocument/2006/relationships/hyperlink" Target="http://en.wikipedia.org/wiki/EP300" TargetMode="External"/><Relationship Id="rId59" Type="http://schemas.openxmlformats.org/officeDocument/2006/relationships/hyperlink" Target="http://en.wikipedia.org/wiki/Cell_growth" TargetMode="External"/><Relationship Id="rId40" Type="http://schemas.openxmlformats.org/officeDocument/2006/relationships/hyperlink" Target="http://en.wikipedia.org/wiki/Cell_cycle_checkpoint" TargetMode="External"/><Relationship Id="rId41" Type="http://schemas.openxmlformats.org/officeDocument/2006/relationships/hyperlink" Target="http://en.wikipedia.org/wiki/NF2_(gene)" TargetMode="External"/><Relationship Id="rId42" Type="http://schemas.openxmlformats.org/officeDocument/2006/relationships/hyperlink" Target="http://en.wikipedia.org/wiki/Cytoskeletal" TargetMode="External"/><Relationship Id="rId43" Type="http://schemas.openxmlformats.org/officeDocument/2006/relationships/hyperlink" Target="http://en.wikipedia.org/wiki/Protein" TargetMode="External"/><Relationship Id="rId44" Type="http://schemas.openxmlformats.org/officeDocument/2006/relationships/hyperlink" Target="http://en.wikipedia.org/wiki/Tumor_suppressor_gene" TargetMode="External"/><Relationship Id="rId45" Type="http://schemas.openxmlformats.org/officeDocument/2006/relationships/hyperlink" Target="http://en.wikipedia.org/wiki/Neurofibromatosis_type_II" TargetMode="External"/><Relationship Id="rId46" Type="http://schemas.openxmlformats.org/officeDocument/2006/relationships/hyperlink" Target="http://en.wikipedia.org/wiki/Merlin_(protein)" TargetMode="External"/><Relationship Id="rId47" Type="http://schemas.openxmlformats.org/officeDocument/2006/relationships/hyperlink" Target="http://en.wikipedia.org/wiki/Merlin_(protein)" TargetMode="External"/><Relationship Id="rId48" Type="http://schemas.openxmlformats.org/officeDocument/2006/relationships/hyperlink" Target="http://en.wikipedia.org/wiki/ERM_protein_family" TargetMode="External"/><Relationship Id="rId49" Type="http://schemas.openxmlformats.org/officeDocument/2006/relationships/hyperlink" Target="http://en.wikipedia.org/wiki/SOX1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IGL@" TargetMode="External"/><Relationship Id="rId6" Type="http://schemas.openxmlformats.org/officeDocument/2006/relationships/hyperlink" Target="http://en.wikipedia.org/wiki/Chromosome_22" TargetMode="External"/><Relationship Id="rId7" Type="http://schemas.openxmlformats.org/officeDocument/2006/relationships/hyperlink" Target="http://en.wikipedia.org/wiki/Gene" TargetMode="External"/><Relationship Id="rId8" Type="http://schemas.openxmlformats.org/officeDocument/2006/relationships/hyperlink" Target="http://en.wikipedia.org/wiki/Antibody_light_chain" TargetMode="External"/><Relationship Id="rId9" Type="http://schemas.openxmlformats.org/officeDocument/2006/relationships/hyperlink" Target="http://en.wikipedia.org/wiki/Antibody" TargetMode="External"/><Relationship Id="rId30" Type="http://schemas.openxmlformats.org/officeDocument/2006/relationships/hyperlink" Target="http://en.wikipedia.org/wiki/Epinephrine" TargetMode="External"/><Relationship Id="rId31" Type="http://schemas.openxmlformats.org/officeDocument/2006/relationships/hyperlink" Target="http://en.wikipedia.org/wiki/Norepinephrine" TargetMode="External"/><Relationship Id="rId32" Type="http://schemas.openxmlformats.org/officeDocument/2006/relationships/hyperlink" Target="http://en.wikipedia.org/wiki/Gene" TargetMode="External"/><Relationship Id="rId33" Type="http://schemas.openxmlformats.org/officeDocument/2006/relationships/hyperlink" Target="http://en.wikipedia.org/wiki/Catechol-O-methyl_transferase" TargetMode="External"/><Relationship Id="rId34" Type="http://schemas.openxmlformats.org/officeDocument/2006/relationships/hyperlink" Target="http://en.wikipedia.org/wiki/NEFH" TargetMode="External"/><Relationship Id="rId35" Type="http://schemas.openxmlformats.org/officeDocument/2006/relationships/hyperlink" Target="http://en.wikipedia.org/wiki/Chromosome_22" TargetMode="External"/><Relationship Id="rId36" Type="http://schemas.openxmlformats.org/officeDocument/2006/relationships/hyperlink" Target="http://en.wikipedia.org/wiki/CHEK2" TargetMode="External"/><Relationship Id="rId37" Type="http://schemas.openxmlformats.org/officeDocument/2006/relationships/hyperlink" Target="http://en.wikipedia.org/wiki/Protein" TargetMode="External"/><Relationship Id="rId38" Type="http://schemas.openxmlformats.org/officeDocument/2006/relationships/hyperlink" Target="http://en.wikipedia.org/wiki/Protein_kinase" TargetMode="External"/><Relationship Id="rId39" Type="http://schemas.openxmlformats.org/officeDocument/2006/relationships/hyperlink" Target="http://en.wikipedia.org/wiki/DNA_damage" TargetMode="External"/><Relationship Id="rId70" Type="http://schemas.openxmlformats.org/officeDocument/2006/relationships/fontTable" Target="fontTable.xml"/><Relationship Id="rId71" Type="http://schemas.openxmlformats.org/officeDocument/2006/relationships/theme" Target="theme/theme1.xml"/><Relationship Id="rId20" Type="http://schemas.openxmlformats.org/officeDocument/2006/relationships/hyperlink" Target="http://en.wikipedia.org/wiki/Oligodendrocyte" TargetMode="External"/><Relationship Id="rId21" Type="http://schemas.openxmlformats.org/officeDocument/2006/relationships/hyperlink" Target="http://en.wikipedia.org/wiki/Glycoprotein" TargetMode="External"/><Relationship Id="rId22" Type="http://schemas.openxmlformats.org/officeDocument/2006/relationships/hyperlink" Target="http://en.wikipedia.org/wiki/Myelin-associated_glycoprotein" TargetMode="External"/><Relationship Id="rId23" Type="http://schemas.openxmlformats.org/officeDocument/2006/relationships/hyperlink" Target="http://en.wikipedia.org/wiki/Axon_guidance" TargetMode="External"/><Relationship Id="rId24" Type="http://schemas.openxmlformats.org/officeDocument/2006/relationships/hyperlink" Target="http://en.wikipedia.org/wiki/COMT" TargetMode="External"/><Relationship Id="rId25" Type="http://schemas.openxmlformats.org/officeDocument/2006/relationships/hyperlink" Target="http://en.wikipedia.org/wiki/Enzyme_Commission_number" TargetMode="External"/><Relationship Id="rId26" Type="http://schemas.openxmlformats.org/officeDocument/2006/relationships/hyperlink" Target="http://enzyme.expasy.org/EC/2.1.1.6" TargetMode="External"/><Relationship Id="rId27" Type="http://schemas.openxmlformats.org/officeDocument/2006/relationships/hyperlink" Target="http://en.wikipedia.org/wiki/Enzyme" TargetMode="External"/><Relationship Id="rId28" Type="http://schemas.openxmlformats.org/officeDocument/2006/relationships/hyperlink" Target="http://en.wikipedia.org/wiki/Catecholamine" TargetMode="External"/><Relationship Id="rId29" Type="http://schemas.openxmlformats.org/officeDocument/2006/relationships/hyperlink" Target="http://en.wikipedia.org/wiki/Dopamine" TargetMode="External"/><Relationship Id="rId60" Type="http://schemas.openxmlformats.org/officeDocument/2006/relationships/hyperlink" Target="http://en.wikipedia.org/wiki/Cell_division" TargetMode="External"/><Relationship Id="rId61" Type="http://schemas.openxmlformats.org/officeDocument/2006/relationships/hyperlink" Target="http://en.wikipedia.org/wiki/WNT7B" TargetMode="External"/><Relationship Id="rId62" Type="http://schemas.openxmlformats.org/officeDocument/2006/relationships/hyperlink" Target="http://en.wikipedia.org/wiki/SHANK3" TargetMode="External"/><Relationship Id="rId10" Type="http://schemas.openxmlformats.org/officeDocument/2006/relationships/hyperlink" Target="http://en.wikipedia.org/wiki/Antigen" TargetMode="External"/><Relationship Id="rId11" Type="http://schemas.openxmlformats.org/officeDocument/2006/relationships/hyperlink" Target="http://en.wikipedia.org/wiki/TBX1" TargetMode="External"/><Relationship Id="rId12" Type="http://schemas.openxmlformats.org/officeDocument/2006/relationships/hyperlink" Target="http://en.wikipedia.org/wiki/Prote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1389</Words>
  <Characters>7918</Characters>
  <Application>Microsoft Macintosh Word</Application>
  <DocSecurity>0</DocSecurity>
  <Lines>65</Lines>
  <Paragraphs>18</Paragraphs>
  <ScaleCrop>false</ScaleCrop>
  <Company>University of British Columbia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2</cp:revision>
  <dcterms:created xsi:type="dcterms:W3CDTF">2015-04-17T12:35:00Z</dcterms:created>
  <dcterms:modified xsi:type="dcterms:W3CDTF">2015-04-17T12:57:00Z</dcterms:modified>
</cp:coreProperties>
</file>