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FC90" w14:textId="08BB6B75" w:rsidR="00B979D8" w:rsidRDefault="00683F92">
      <w:pPr>
        <w:pStyle w:val="Date"/>
      </w:pPr>
      <w:r>
        <w:t>June 25, 2021</w:t>
      </w:r>
    </w:p>
    <w:p w14:paraId="41C80BFC" w14:textId="51A71F62" w:rsidR="00B979D8" w:rsidRPr="00683F92" w:rsidRDefault="00683F92">
      <w:pPr>
        <w:pStyle w:val="Title"/>
        <w:rPr>
          <w:sz w:val="36"/>
          <w:szCs w:val="36"/>
        </w:rPr>
      </w:pPr>
      <w:r w:rsidRPr="00AB1098">
        <w:rPr>
          <w:sz w:val="36"/>
          <w:szCs w:val="36"/>
        </w:rPr>
        <w:t>Office protocol regarding the Periodontal patient at Spencer Dentistry</w:t>
      </w:r>
    </w:p>
    <w:p w14:paraId="32809D23" w14:textId="5BAB1E35" w:rsidR="00B979D8" w:rsidRPr="00683F92" w:rsidRDefault="00310E05" w:rsidP="00683F92">
      <w:pPr>
        <w:pStyle w:val="Heading1"/>
        <w:rPr>
          <w:b/>
          <w:bCs/>
        </w:rPr>
      </w:pPr>
      <w:r>
        <w:rPr>
          <w:b/>
          <w:bCs/>
        </w:rPr>
        <w:t>I</w:t>
      </w:r>
      <w:r w:rsidR="00683F92">
        <w:rPr>
          <w:b/>
          <w:bCs/>
        </w:rPr>
        <w:t xml:space="preserve">. </w:t>
      </w:r>
      <w:r w:rsidR="00683F92" w:rsidRPr="00683F92">
        <w:rPr>
          <w:b/>
          <w:bCs/>
        </w:rPr>
        <w:t>Introduction</w:t>
      </w:r>
    </w:p>
    <w:p w14:paraId="5BE19082" w14:textId="124AA5FF" w:rsidR="00B979D8" w:rsidRDefault="008D031E" w:rsidP="006C6D2E">
      <w:pPr>
        <w:pStyle w:val="Heading2"/>
        <w:spacing w:line="240" w:lineRule="auto"/>
        <w:ind w:left="0"/>
        <w:rPr>
          <w:u w:val="single"/>
        </w:rPr>
      </w:pPr>
      <w:r>
        <w:rPr>
          <w:u w:val="single"/>
        </w:rPr>
        <w:t xml:space="preserve">A. </w:t>
      </w:r>
      <w:r w:rsidR="00683F92" w:rsidRPr="00683F92">
        <w:rPr>
          <w:u w:val="single"/>
        </w:rPr>
        <w:t>Description and Background Information</w:t>
      </w:r>
      <w:r w:rsidR="00683F92">
        <w:rPr>
          <w:u w:val="single"/>
        </w:rPr>
        <w:t>:</w:t>
      </w:r>
    </w:p>
    <w:p w14:paraId="634F1D27" w14:textId="0A7C6DAE" w:rsidR="008D031E" w:rsidRPr="008D031E" w:rsidRDefault="004139AC" w:rsidP="006C6D2E">
      <w:pPr>
        <w:pStyle w:val="ListParagraph"/>
        <w:numPr>
          <w:ilvl w:val="0"/>
          <w:numId w:val="2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Comparing the ‘old’ and ‘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D031E">
        <w:rPr>
          <w:rFonts w:ascii="Times New Roman" w:hAnsi="Times New Roman" w:cs="Times New Roman"/>
          <w:sz w:val="24"/>
          <w:szCs w:val="24"/>
        </w:rPr>
        <w:t>ew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8D031E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="008D031E">
        <w:rPr>
          <w:rFonts w:ascii="Times New Roman" w:hAnsi="Times New Roman" w:cs="Times New Roman"/>
          <w:sz w:val="24"/>
          <w:szCs w:val="24"/>
        </w:rPr>
        <w:t xml:space="preserve"> to diagnosing Periodontal Disease.</w:t>
      </w:r>
    </w:p>
    <w:p w14:paraId="6AFE6D23" w14:textId="6D3429B4" w:rsidR="008D031E" w:rsidRPr="008D031E" w:rsidRDefault="008D031E" w:rsidP="006C6D2E">
      <w:pPr>
        <w:pStyle w:val="ListParagraph"/>
        <w:numPr>
          <w:ilvl w:val="0"/>
          <w:numId w:val="2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Current recommendations and guidelines from the AAP</w:t>
      </w:r>
      <w:r w:rsidR="006C6D2E">
        <w:rPr>
          <w:rFonts w:ascii="Times New Roman" w:hAnsi="Times New Roman" w:cs="Times New Roman"/>
          <w:sz w:val="24"/>
          <w:szCs w:val="24"/>
        </w:rPr>
        <w:t xml:space="preserve">, the RCDSO </w:t>
      </w:r>
      <w:r>
        <w:rPr>
          <w:rFonts w:ascii="Times New Roman" w:hAnsi="Times New Roman" w:cs="Times New Roman"/>
          <w:sz w:val="24"/>
          <w:szCs w:val="24"/>
        </w:rPr>
        <w:t>and the C</w:t>
      </w:r>
      <w:r w:rsidR="006C6D2E">
        <w:rPr>
          <w:rFonts w:ascii="Times New Roman" w:hAnsi="Times New Roman" w:cs="Times New Roman"/>
          <w:sz w:val="24"/>
          <w:szCs w:val="24"/>
        </w:rPr>
        <w:t>DHO</w:t>
      </w:r>
      <w:r>
        <w:rPr>
          <w:rFonts w:ascii="Times New Roman" w:hAnsi="Times New Roman" w:cs="Times New Roman"/>
          <w:sz w:val="24"/>
          <w:szCs w:val="24"/>
        </w:rPr>
        <w:t xml:space="preserve"> regarding proper diagnosis and referral process</w:t>
      </w:r>
      <w:r w:rsidR="006C6D2E">
        <w:rPr>
          <w:rFonts w:ascii="Times New Roman" w:hAnsi="Times New Roman" w:cs="Times New Roman"/>
          <w:sz w:val="24"/>
          <w:szCs w:val="24"/>
        </w:rPr>
        <w:t xml:space="preserve"> for patients with periodontal disease</w:t>
      </w:r>
    </w:p>
    <w:p w14:paraId="780F11F5" w14:textId="47335F0D" w:rsidR="00683F92" w:rsidRDefault="008D031E" w:rsidP="00683F92">
      <w:pPr>
        <w:pStyle w:val="Heading2"/>
        <w:ind w:left="0"/>
        <w:rPr>
          <w:u w:val="single"/>
        </w:rPr>
      </w:pPr>
      <w:r>
        <w:rPr>
          <w:u w:val="single"/>
        </w:rPr>
        <w:t xml:space="preserve">B. </w:t>
      </w:r>
      <w:r w:rsidR="00683F92">
        <w:rPr>
          <w:u w:val="single"/>
        </w:rPr>
        <w:t>Identify the Current Problem:</w:t>
      </w:r>
    </w:p>
    <w:p w14:paraId="407C79DB" w14:textId="77777777" w:rsidR="006C6D2E" w:rsidRPr="006C6D2E" w:rsidRDefault="008D031E" w:rsidP="006C6D2E">
      <w:pPr>
        <w:pStyle w:val="ListNumber"/>
        <w:numPr>
          <w:ilvl w:val="0"/>
          <w:numId w:val="18"/>
        </w:numPr>
        <w:spacing w:line="240" w:lineRule="auto"/>
      </w:pPr>
      <w:r w:rsidRPr="006C6D2E">
        <w:rPr>
          <w:rFonts w:ascii="Times New Roman" w:hAnsi="Times New Roman" w:cs="Times New Roman"/>
          <w:sz w:val="24"/>
          <w:szCs w:val="24"/>
        </w:rPr>
        <w:t>Spencer Dentistry currently lacks an explicit standardized step by step approach to assessing patients need for periodontal referral.</w:t>
      </w:r>
    </w:p>
    <w:p w14:paraId="16AC5584" w14:textId="77777777" w:rsidR="00F759E1" w:rsidRPr="00F759E1" w:rsidRDefault="008D031E" w:rsidP="00F759E1">
      <w:pPr>
        <w:pStyle w:val="ListNumber"/>
        <w:numPr>
          <w:ilvl w:val="0"/>
          <w:numId w:val="18"/>
        </w:numPr>
        <w:spacing w:line="240" w:lineRule="auto"/>
      </w:pPr>
      <w:r w:rsidRPr="006C6D2E">
        <w:rPr>
          <w:rFonts w:ascii="Times New Roman" w:hAnsi="Times New Roman" w:cs="Times New Roman"/>
          <w:sz w:val="24"/>
          <w:szCs w:val="24"/>
        </w:rPr>
        <w:t xml:space="preserve">There is inconsistency in the diagnosis of periodontal disease using the new AAP periodontal classifications, creating a conflicting referral process. </w:t>
      </w:r>
    </w:p>
    <w:p w14:paraId="4DCB3793" w14:textId="5D0EAA69" w:rsidR="008D031E" w:rsidRPr="00F759E1" w:rsidRDefault="008D031E" w:rsidP="00F759E1">
      <w:pPr>
        <w:pStyle w:val="ListNumber"/>
        <w:numPr>
          <w:ilvl w:val="0"/>
          <w:numId w:val="18"/>
        </w:numPr>
        <w:spacing w:line="240" w:lineRule="auto"/>
      </w:pPr>
      <w:r w:rsidRPr="00F759E1">
        <w:rPr>
          <w:rFonts w:ascii="Times New Roman" w:hAnsi="Times New Roman" w:cs="Times New Roman"/>
          <w:sz w:val="24"/>
          <w:szCs w:val="24"/>
        </w:rPr>
        <w:t xml:space="preserve">There is no existing documentation protocol established for when a patient refuses a specialist referral after their condition has been thoroughly explained to them. </w:t>
      </w:r>
    </w:p>
    <w:p w14:paraId="138C1441" w14:textId="74C661BD" w:rsidR="00683F92" w:rsidRDefault="008D031E" w:rsidP="008D031E">
      <w:pPr>
        <w:pStyle w:val="Heading2"/>
        <w:ind w:left="0"/>
        <w:rPr>
          <w:u w:val="single"/>
        </w:rPr>
      </w:pPr>
      <w:r>
        <w:rPr>
          <w:u w:val="single"/>
        </w:rPr>
        <w:t>C. Identify the purpose of the report and the intended audience:</w:t>
      </w:r>
    </w:p>
    <w:p w14:paraId="18691B92" w14:textId="516CBFAC" w:rsidR="008D031E" w:rsidRDefault="008D031E" w:rsidP="00F759E1">
      <w:pPr>
        <w:ind w:left="0"/>
      </w:pPr>
      <w:r w:rsidRPr="00F759E1">
        <w:rPr>
          <w:i/>
          <w:iCs/>
        </w:rPr>
        <w:t>Primary Audience</w:t>
      </w:r>
      <w:r>
        <w:t xml:space="preserve">: Dr </w:t>
      </w:r>
      <w:proofErr w:type="spellStart"/>
      <w:r>
        <w:t>Gurbaz</w:t>
      </w:r>
      <w:proofErr w:type="spellEnd"/>
      <w:r>
        <w:t xml:space="preserve"> Sa</w:t>
      </w:r>
      <w:r w:rsidR="006C6D2E">
        <w:t>ndhu, Dentist/Owner of Spencer Dentistry</w:t>
      </w:r>
      <w:r w:rsidR="006B197D">
        <w:t>.</w:t>
      </w:r>
    </w:p>
    <w:p w14:paraId="6FFABB85" w14:textId="2F685AB6" w:rsidR="006C6D2E" w:rsidRDefault="006C6D2E" w:rsidP="00F759E1">
      <w:pPr>
        <w:ind w:left="0"/>
      </w:pPr>
      <w:r w:rsidRPr="00F759E1">
        <w:rPr>
          <w:i/>
          <w:iCs/>
        </w:rPr>
        <w:t>Secondary Audience</w:t>
      </w:r>
      <w:r>
        <w:t>: Dentists and Dental Hygienists employed by Spencer Dentistry</w:t>
      </w:r>
      <w:r w:rsidR="006B197D">
        <w:t>.</w:t>
      </w:r>
    </w:p>
    <w:p w14:paraId="4B74DAB9" w14:textId="6E644492" w:rsidR="00F759E1" w:rsidRDefault="00F759E1" w:rsidP="00F759E1">
      <w:pPr>
        <w:ind w:left="0"/>
      </w:pPr>
      <w:r w:rsidRPr="00F759E1">
        <w:rPr>
          <w:i/>
          <w:iCs/>
        </w:rPr>
        <w:t>Relationship with Audience</w:t>
      </w:r>
      <w:r>
        <w:t>: Employee, Colleague</w:t>
      </w:r>
    </w:p>
    <w:p w14:paraId="17A77B78" w14:textId="3D9D6C90" w:rsidR="00F759E1" w:rsidRDefault="00F759E1" w:rsidP="00F759E1">
      <w:pPr>
        <w:ind w:left="0"/>
        <w:rPr>
          <w:i/>
          <w:iCs/>
        </w:rPr>
      </w:pPr>
      <w:r w:rsidRPr="00F759E1">
        <w:rPr>
          <w:i/>
          <w:iCs/>
        </w:rPr>
        <w:t>Purpose:</w:t>
      </w:r>
    </w:p>
    <w:p w14:paraId="2BCBFE41" w14:textId="107BB2A4" w:rsidR="00F759E1" w:rsidRDefault="00F759E1" w:rsidP="00F759E1">
      <w:pPr>
        <w:pStyle w:val="ListParagraph"/>
        <w:numPr>
          <w:ilvl w:val="0"/>
          <w:numId w:val="25"/>
        </w:numPr>
      </w:pPr>
      <w:r>
        <w:t xml:space="preserve">To inform Dr </w:t>
      </w:r>
      <w:proofErr w:type="spellStart"/>
      <w:r>
        <w:t>Gurbaz</w:t>
      </w:r>
      <w:proofErr w:type="spellEnd"/>
      <w:r>
        <w:t xml:space="preserve"> Sandhu and his staff about the importance of reviewing the new AAP Periodontal classifications to calibrate diagnosis.</w:t>
      </w:r>
    </w:p>
    <w:p w14:paraId="49EAC336" w14:textId="74810847" w:rsidR="00F759E1" w:rsidRDefault="00F759E1" w:rsidP="00F759E1">
      <w:pPr>
        <w:pStyle w:val="ListParagraph"/>
        <w:numPr>
          <w:ilvl w:val="0"/>
          <w:numId w:val="25"/>
        </w:numPr>
      </w:pPr>
      <w:r>
        <w:t>Develop a detailed step-by-step protocol based on the AAP classifications for the dentists and dental hygienists to follow.</w:t>
      </w:r>
    </w:p>
    <w:p w14:paraId="0547B174" w14:textId="4F03A018" w:rsidR="00F759E1" w:rsidRDefault="00F759E1" w:rsidP="00F759E1">
      <w:pPr>
        <w:pStyle w:val="ListParagraph"/>
        <w:numPr>
          <w:ilvl w:val="0"/>
          <w:numId w:val="25"/>
        </w:numPr>
      </w:pPr>
      <w:r>
        <w:t>Implement a ‘Refusal of Referral’ form to be signed by all patients refusing specialist intervention after their condition has been thoroughly explained to them.</w:t>
      </w:r>
    </w:p>
    <w:p w14:paraId="435BA4BA" w14:textId="07A73692" w:rsidR="009E0D18" w:rsidRDefault="009E0D18" w:rsidP="009E0D18">
      <w:pPr>
        <w:pStyle w:val="Heading2"/>
        <w:ind w:left="0"/>
        <w:rPr>
          <w:u w:val="single"/>
        </w:rPr>
      </w:pPr>
      <w:r>
        <w:rPr>
          <w:u w:val="single"/>
        </w:rPr>
        <w:t>D. Method of Inquiry:</w:t>
      </w:r>
    </w:p>
    <w:p w14:paraId="13F89AE9" w14:textId="6D7B15F9" w:rsidR="009E0D18" w:rsidRDefault="009E0D18" w:rsidP="009E0D18">
      <w:pPr>
        <w:ind w:left="0"/>
      </w:pPr>
      <w:r w:rsidRPr="009E0D18">
        <w:rPr>
          <w:i/>
          <w:iCs/>
        </w:rPr>
        <w:t>Primary Sources:</w:t>
      </w:r>
      <w:r>
        <w:rPr>
          <w:i/>
          <w:iCs/>
        </w:rPr>
        <w:t xml:space="preserve"> </w:t>
      </w:r>
      <w:r>
        <w:t xml:space="preserve"> Email survey questions to </w:t>
      </w:r>
      <w:r w:rsidR="00395190">
        <w:t>2</w:t>
      </w:r>
      <w:r>
        <w:t>0 hygienists practicing in Ontario to determine</w:t>
      </w:r>
      <w:r w:rsidR="00114C0E">
        <w:t xml:space="preserve"> scope of inquiry.</w:t>
      </w:r>
    </w:p>
    <w:p w14:paraId="3F59B30C" w14:textId="3427002F" w:rsidR="009E0D18" w:rsidRDefault="00D53C0F" w:rsidP="009E0D18">
      <w:pPr>
        <w:ind w:left="0"/>
      </w:pPr>
      <w:r w:rsidRPr="00D53C0F">
        <w:rPr>
          <w:i/>
          <w:iCs/>
        </w:rPr>
        <w:t>Secondary Sources:</w:t>
      </w:r>
      <w:r>
        <w:t xml:space="preserve"> Literature review regarding recommendations for periodontal diagnosis and referral as published by: AAP, CDHO, RCDSO, CDHA, ODA</w:t>
      </w:r>
    </w:p>
    <w:p w14:paraId="23707037" w14:textId="386E8C2B" w:rsidR="00114C0E" w:rsidRPr="00AC2178" w:rsidRDefault="00114C0E" w:rsidP="00114C0E">
      <w:pPr>
        <w:ind w:left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E. </w:t>
      </w:r>
      <w:r w:rsidRPr="00AC2178">
        <w:rPr>
          <w:sz w:val="26"/>
          <w:szCs w:val="26"/>
          <w:u w:val="single"/>
        </w:rPr>
        <w:t xml:space="preserve"> Scope of the Inquiry:</w:t>
      </w:r>
    </w:p>
    <w:p w14:paraId="2B8DB923" w14:textId="77777777" w:rsidR="00114C0E" w:rsidRDefault="00114C0E" w:rsidP="00114C0E">
      <w:pPr>
        <w:pStyle w:val="ListParagraph"/>
        <w:numPr>
          <w:ilvl w:val="0"/>
          <w:numId w:val="30"/>
        </w:numPr>
      </w:pPr>
      <w:r>
        <w:lastRenderedPageBreak/>
        <w:t>What are the guidelines utilized by other dental offices in identifying which patients require a referral to a periodontist?</w:t>
      </w:r>
    </w:p>
    <w:p w14:paraId="77042E4E" w14:textId="77777777" w:rsidR="00114C0E" w:rsidRDefault="00114C0E" w:rsidP="00114C0E">
      <w:pPr>
        <w:pStyle w:val="ListParagraph"/>
        <w:numPr>
          <w:ilvl w:val="0"/>
          <w:numId w:val="30"/>
        </w:numPr>
      </w:pPr>
      <w:r>
        <w:t>Have staff members taken a course on the new AAP Periodontal classifications?</w:t>
      </w:r>
    </w:p>
    <w:p w14:paraId="7671682F" w14:textId="77777777" w:rsidR="00114C0E" w:rsidRDefault="00114C0E" w:rsidP="00114C0E">
      <w:pPr>
        <w:pStyle w:val="ListParagraph"/>
        <w:numPr>
          <w:ilvl w:val="0"/>
          <w:numId w:val="30"/>
        </w:numPr>
      </w:pPr>
      <w:r>
        <w:t>What are the documentation practices regarding the referral process being used, and furthermore, what is the protocol utilized when a patient refuses a referral?</w:t>
      </w:r>
    </w:p>
    <w:p w14:paraId="573EE8A9" w14:textId="77777777" w:rsidR="00114C0E" w:rsidRDefault="00114C0E" w:rsidP="009E0D18">
      <w:pPr>
        <w:ind w:left="0"/>
      </w:pPr>
    </w:p>
    <w:p w14:paraId="2CAC80D7" w14:textId="2C59C356" w:rsidR="00D53C0F" w:rsidRDefault="00114C0E" w:rsidP="00D53C0F">
      <w:pPr>
        <w:pStyle w:val="Heading2"/>
        <w:ind w:left="0"/>
        <w:rPr>
          <w:u w:val="single"/>
        </w:rPr>
      </w:pPr>
      <w:r>
        <w:rPr>
          <w:u w:val="single"/>
        </w:rPr>
        <w:t>F</w:t>
      </w:r>
      <w:r w:rsidR="00D53C0F">
        <w:rPr>
          <w:u w:val="single"/>
        </w:rPr>
        <w:t>. Limitations of the Study:</w:t>
      </w:r>
    </w:p>
    <w:p w14:paraId="65610E77" w14:textId="24BA58F9" w:rsidR="00D53C0F" w:rsidRDefault="00D53C0F" w:rsidP="00D53C0F">
      <w:pPr>
        <w:pStyle w:val="ListParagraph"/>
        <w:numPr>
          <w:ilvl w:val="0"/>
          <w:numId w:val="28"/>
        </w:numPr>
      </w:pPr>
      <w:r>
        <w:t>Possible selection bias as I know the hygienists being surveyed personally.</w:t>
      </w:r>
    </w:p>
    <w:p w14:paraId="6013F0F0" w14:textId="442D09BB" w:rsidR="00683F92" w:rsidRDefault="00D53C0F" w:rsidP="00114C0E">
      <w:pPr>
        <w:pStyle w:val="ListParagraph"/>
        <w:numPr>
          <w:ilvl w:val="0"/>
          <w:numId w:val="28"/>
        </w:numPr>
      </w:pPr>
      <w:r>
        <w:t>Possible response bias as I know the respondents personally, which may affect the way they answer.</w:t>
      </w:r>
    </w:p>
    <w:p w14:paraId="538E0DCC" w14:textId="3ADC0327" w:rsidR="00B979D8" w:rsidRPr="00683F92" w:rsidRDefault="00310E05">
      <w:pPr>
        <w:pStyle w:val="Heading1"/>
        <w:rPr>
          <w:b/>
          <w:bCs/>
        </w:rPr>
      </w:pPr>
      <w:r>
        <w:rPr>
          <w:b/>
          <w:bCs/>
        </w:rPr>
        <w:t>II</w:t>
      </w:r>
      <w:r w:rsidR="00683F92" w:rsidRPr="00683F92">
        <w:rPr>
          <w:b/>
          <w:bCs/>
        </w:rPr>
        <w:t xml:space="preserve">. </w:t>
      </w:r>
      <w:r w:rsidR="007B540E">
        <w:rPr>
          <w:b/>
          <w:bCs/>
        </w:rPr>
        <w:t>Collected Data/Body</w:t>
      </w:r>
    </w:p>
    <w:p w14:paraId="54F863FB" w14:textId="7FB610EE" w:rsidR="00DF736E" w:rsidRPr="00DF736E" w:rsidRDefault="00DF736E" w:rsidP="006579F2">
      <w:pPr>
        <w:pStyle w:val="ListParagraph"/>
        <w:numPr>
          <w:ilvl w:val="0"/>
          <w:numId w:val="31"/>
        </w:numPr>
      </w:pPr>
      <w:r>
        <w:t>Explain the findings, present</w:t>
      </w:r>
      <w:r w:rsidR="00694499">
        <w:t xml:space="preserve">ing a </w:t>
      </w:r>
      <w:r>
        <w:t>clear picture of the evidence</w:t>
      </w:r>
      <w:r w:rsidR="005D7DE8">
        <w:t>, interpretations, and reasoning on for the conclusion</w:t>
      </w:r>
      <w:r w:rsidR="0039643A">
        <w:t xml:space="preserve"> to …</w:t>
      </w:r>
    </w:p>
    <w:p w14:paraId="1822B9A7" w14:textId="003653EC" w:rsidR="00A40744" w:rsidRDefault="00694499" w:rsidP="00694499">
      <w:pPr>
        <w:pStyle w:val="ListParagraph"/>
        <w:numPr>
          <w:ilvl w:val="0"/>
          <w:numId w:val="34"/>
        </w:numPr>
      </w:pPr>
      <w:r>
        <w:t>Educate</w:t>
      </w:r>
      <w:r w:rsidR="00A47614">
        <w:t xml:space="preserve"> the</w:t>
      </w:r>
      <w:r w:rsidR="00032D43">
        <w:t xml:space="preserve"> staff on the new AAP Periodontal classifications</w:t>
      </w:r>
    </w:p>
    <w:p w14:paraId="40982920" w14:textId="6F5D82D8" w:rsidR="00032D43" w:rsidRPr="00BB1CCD" w:rsidRDefault="00694499" w:rsidP="00694499">
      <w:pPr>
        <w:pStyle w:val="ListParagraph"/>
        <w:numPr>
          <w:ilvl w:val="0"/>
          <w:numId w:val="34"/>
        </w:numPr>
      </w:pPr>
      <w:r>
        <w:rPr>
          <w:rFonts w:ascii="Times New Roman" w:hAnsi="Times New Roman" w:cs="Times New Roman"/>
          <w:sz w:val="24"/>
          <w:szCs w:val="24"/>
        </w:rPr>
        <w:t>Develop</w:t>
      </w:r>
      <w:r w:rsidR="00821B37">
        <w:rPr>
          <w:rFonts w:ascii="Times New Roman" w:hAnsi="Times New Roman" w:cs="Times New Roman"/>
          <w:sz w:val="24"/>
          <w:szCs w:val="24"/>
        </w:rPr>
        <w:t xml:space="preserve"> a detailed step-by-step protocol based on the AAP for the </w:t>
      </w:r>
      <w:r w:rsidR="00BB1CCD">
        <w:rPr>
          <w:rFonts w:ascii="Times New Roman" w:hAnsi="Times New Roman" w:cs="Times New Roman"/>
          <w:sz w:val="24"/>
          <w:szCs w:val="24"/>
        </w:rPr>
        <w:t xml:space="preserve">dentists and </w:t>
      </w:r>
      <w:r w:rsidR="00821B37">
        <w:rPr>
          <w:rFonts w:ascii="Times New Roman" w:hAnsi="Times New Roman" w:cs="Times New Roman"/>
          <w:sz w:val="24"/>
          <w:szCs w:val="24"/>
        </w:rPr>
        <w:t>dental hygienists to follow</w:t>
      </w:r>
      <w:r w:rsidR="00BB1CCD">
        <w:rPr>
          <w:rFonts w:ascii="Times New Roman" w:hAnsi="Times New Roman" w:cs="Times New Roman"/>
          <w:sz w:val="24"/>
          <w:szCs w:val="24"/>
        </w:rPr>
        <w:t>.</w:t>
      </w:r>
    </w:p>
    <w:p w14:paraId="51BFC60F" w14:textId="11B089ED" w:rsidR="00F15C8F" w:rsidRPr="004139AC" w:rsidRDefault="00BB1CCD" w:rsidP="004139AC">
      <w:pPr>
        <w:pStyle w:val="Heading1"/>
        <w:rPr>
          <w:b/>
          <w:bCs/>
        </w:rPr>
      </w:pPr>
      <w:r>
        <w:rPr>
          <w:b/>
          <w:bCs/>
        </w:rPr>
        <w:t>III</w:t>
      </w:r>
      <w:r w:rsidRPr="00683F92">
        <w:rPr>
          <w:b/>
          <w:bCs/>
        </w:rPr>
        <w:t xml:space="preserve">. </w:t>
      </w:r>
      <w:r>
        <w:rPr>
          <w:b/>
          <w:bCs/>
        </w:rPr>
        <w:t>CONCLUSION</w:t>
      </w:r>
      <w:r w:rsidR="00D02B8C">
        <w:rPr>
          <w:b/>
          <w:bCs/>
        </w:rPr>
        <w:t xml:space="preserve"> </w:t>
      </w:r>
    </w:p>
    <w:p w14:paraId="2F858B77" w14:textId="30A9C6F2" w:rsidR="00F15C8F" w:rsidRDefault="00F15C8F" w:rsidP="00F15C8F">
      <w:pPr>
        <w:pStyle w:val="ListParagraph"/>
        <w:numPr>
          <w:ilvl w:val="0"/>
          <w:numId w:val="33"/>
        </w:numPr>
      </w:pPr>
      <w:r>
        <w:t>Summary of findings</w:t>
      </w:r>
    </w:p>
    <w:p w14:paraId="7C41FF76" w14:textId="1D6BF96C" w:rsidR="00F15C8F" w:rsidRDefault="00F15C8F" w:rsidP="00F15C8F">
      <w:pPr>
        <w:pStyle w:val="ListParagraph"/>
        <w:numPr>
          <w:ilvl w:val="0"/>
          <w:numId w:val="33"/>
        </w:numPr>
      </w:pPr>
      <w:r>
        <w:t>Overall Interpretation of Findings</w:t>
      </w:r>
    </w:p>
    <w:p w14:paraId="524C7395" w14:textId="6AB5C6F0" w:rsidR="00F15C8F" w:rsidRPr="00A40744" w:rsidRDefault="00F15C8F" w:rsidP="00F15C8F">
      <w:pPr>
        <w:pStyle w:val="ListParagraph"/>
        <w:numPr>
          <w:ilvl w:val="0"/>
          <w:numId w:val="33"/>
        </w:numPr>
      </w:pPr>
      <w:r>
        <w:t>Recommendations for Spencer Dentistry</w:t>
      </w:r>
    </w:p>
    <w:sectPr w:rsidR="00F15C8F" w:rsidRPr="00A40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5AF5" w14:textId="77777777" w:rsidR="004A69F9" w:rsidRDefault="004A69F9">
      <w:pPr>
        <w:spacing w:after="0" w:line="240" w:lineRule="auto"/>
      </w:pPr>
      <w:r>
        <w:separator/>
      </w:r>
    </w:p>
    <w:p w14:paraId="1434355C" w14:textId="77777777" w:rsidR="004A69F9" w:rsidRDefault="004A69F9"/>
  </w:endnote>
  <w:endnote w:type="continuationSeparator" w:id="0">
    <w:p w14:paraId="55DC0C26" w14:textId="77777777" w:rsidR="004A69F9" w:rsidRDefault="004A69F9">
      <w:pPr>
        <w:spacing w:after="0" w:line="240" w:lineRule="auto"/>
      </w:pPr>
      <w:r>
        <w:continuationSeparator/>
      </w:r>
    </w:p>
    <w:p w14:paraId="75CAE551" w14:textId="77777777" w:rsidR="004A69F9" w:rsidRDefault="004A6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C9E4" w14:textId="77777777" w:rsidR="00696D06" w:rsidRDefault="00696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3129" w14:textId="77777777" w:rsidR="00B979D8" w:rsidRDefault="0091739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8A17" w14:textId="77777777" w:rsidR="00696D06" w:rsidRDefault="00696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2D09" w14:textId="77777777" w:rsidR="004A69F9" w:rsidRDefault="004A69F9">
      <w:pPr>
        <w:spacing w:after="0" w:line="240" w:lineRule="auto"/>
      </w:pPr>
      <w:r>
        <w:separator/>
      </w:r>
    </w:p>
    <w:p w14:paraId="0B1D8B4A" w14:textId="77777777" w:rsidR="004A69F9" w:rsidRDefault="004A69F9"/>
  </w:footnote>
  <w:footnote w:type="continuationSeparator" w:id="0">
    <w:p w14:paraId="3855AE10" w14:textId="77777777" w:rsidR="004A69F9" w:rsidRDefault="004A69F9">
      <w:pPr>
        <w:spacing w:after="0" w:line="240" w:lineRule="auto"/>
      </w:pPr>
      <w:r>
        <w:continuationSeparator/>
      </w:r>
    </w:p>
    <w:p w14:paraId="4A0365EB" w14:textId="77777777" w:rsidR="004A69F9" w:rsidRDefault="004A6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2ADD" w14:textId="77777777" w:rsidR="00696D06" w:rsidRDefault="00696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FAE1" w14:textId="77777777" w:rsidR="00696D06" w:rsidRDefault="00696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EF2" w14:textId="77777777" w:rsidR="00696D06" w:rsidRDefault="00696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F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F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80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CE712C"/>
    <w:multiLevelType w:val="hybridMultilevel"/>
    <w:tmpl w:val="D548D2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552C83"/>
    <w:multiLevelType w:val="multilevel"/>
    <w:tmpl w:val="9B548F9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3530293"/>
    <w:multiLevelType w:val="hybridMultilevel"/>
    <w:tmpl w:val="CC067E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7E592F"/>
    <w:multiLevelType w:val="hybridMultilevel"/>
    <w:tmpl w:val="9B5C9358"/>
    <w:lvl w:ilvl="0" w:tplc="28EC2F50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8B2673"/>
    <w:multiLevelType w:val="hybridMultilevel"/>
    <w:tmpl w:val="88E411C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A95D6E"/>
    <w:multiLevelType w:val="hybridMultilevel"/>
    <w:tmpl w:val="00C4D0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3916"/>
    <w:multiLevelType w:val="hybridMultilevel"/>
    <w:tmpl w:val="225C7F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F0E5B"/>
    <w:multiLevelType w:val="hybridMultilevel"/>
    <w:tmpl w:val="EB0E1E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B124100"/>
    <w:multiLevelType w:val="hybridMultilevel"/>
    <w:tmpl w:val="4D60C5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E272D"/>
    <w:multiLevelType w:val="hybridMultilevel"/>
    <w:tmpl w:val="3E64D5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74FC9"/>
    <w:multiLevelType w:val="hybridMultilevel"/>
    <w:tmpl w:val="53B00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439BD"/>
    <w:multiLevelType w:val="hybridMultilevel"/>
    <w:tmpl w:val="9DCE4F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E552E"/>
    <w:multiLevelType w:val="hybridMultilevel"/>
    <w:tmpl w:val="DBF85238"/>
    <w:lvl w:ilvl="0" w:tplc="204A0D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FC3B10"/>
    <w:multiLevelType w:val="hybridMultilevel"/>
    <w:tmpl w:val="0608A77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27573"/>
    <w:multiLevelType w:val="hybridMultilevel"/>
    <w:tmpl w:val="D1C4FEE6"/>
    <w:lvl w:ilvl="0" w:tplc="65EA6126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638CF"/>
    <w:multiLevelType w:val="multilevel"/>
    <w:tmpl w:val="5C7EBD96"/>
    <w:lvl w:ilvl="0">
      <w:start w:val="1"/>
      <w:numFmt w:val="lowerRoman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E2B3F6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334860"/>
    <w:multiLevelType w:val="hybridMultilevel"/>
    <w:tmpl w:val="9C9207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D6F3C"/>
    <w:multiLevelType w:val="hybridMultilevel"/>
    <w:tmpl w:val="31C2398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B61AF"/>
    <w:multiLevelType w:val="hybridMultilevel"/>
    <w:tmpl w:val="9B5C9358"/>
    <w:lvl w:ilvl="0" w:tplc="28EC2F50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4113A"/>
    <w:multiLevelType w:val="hybridMultilevel"/>
    <w:tmpl w:val="4DEA699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28"/>
  </w:num>
  <w:num w:numId="13">
    <w:abstractNumId w:val="11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5"/>
  </w:num>
  <w:num w:numId="18">
    <w:abstractNumId w:val="16"/>
  </w:num>
  <w:num w:numId="19">
    <w:abstractNumId w:val="8"/>
  </w:num>
  <w:num w:numId="20">
    <w:abstractNumId w:val="9"/>
  </w:num>
  <w:num w:numId="21">
    <w:abstractNumId w:val="29"/>
  </w:num>
  <w:num w:numId="22">
    <w:abstractNumId w:val="12"/>
  </w:num>
  <w:num w:numId="23">
    <w:abstractNumId w:val="22"/>
  </w:num>
  <w:num w:numId="24">
    <w:abstractNumId w:val="21"/>
  </w:num>
  <w:num w:numId="25">
    <w:abstractNumId w:val="18"/>
  </w:num>
  <w:num w:numId="26">
    <w:abstractNumId w:val="25"/>
  </w:num>
  <w:num w:numId="27">
    <w:abstractNumId w:val="31"/>
  </w:num>
  <w:num w:numId="28">
    <w:abstractNumId w:val="23"/>
  </w:num>
  <w:num w:numId="29">
    <w:abstractNumId w:val="26"/>
  </w:num>
  <w:num w:numId="30">
    <w:abstractNumId w:val="13"/>
  </w:num>
  <w:num w:numId="31">
    <w:abstractNumId w:val="17"/>
  </w:num>
  <w:num w:numId="32">
    <w:abstractNumId w:val="30"/>
  </w:num>
  <w:num w:numId="33">
    <w:abstractNumId w:val="3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92"/>
    <w:rsid w:val="00032D43"/>
    <w:rsid w:val="00051678"/>
    <w:rsid w:val="00080C63"/>
    <w:rsid w:val="00086B72"/>
    <w:rsid w:val="000C47C7"/>
    <w:rsid w:val="000D1F66"/>
    <w:rsid w:val="000D3390"/>
    <w:rsid w:val="00114C0E"/>
    <w:rsid w:val="00141CF5"/>
    <w:rsid w:val="001800F8"/>
    <w:rsid w:val="00276B8D"/>
    <w:rsid w:val="00294C3F"/>
    <w:rsid w:val="002C1552"/>
    <w:rsid w:val="00303660"/>
    <w:rsid w:val="00310E05"/>
    <w:rsid w:val="00315E05"/>
    <w:rsid w:val="0034617C"/>
    <w:rsid w:val="00356102"/>
    <w:rsid w:val="00395190"/>
    <w:rsid w:val="0039643A"/>
    <w:rsid w:val="003B0C99"/>
    <w:rsid w:val="003F2336"/>
    <w:rsid w:val="003F397A"/>
    <w:rsid w:val="003F3D12"/>
    <w:rsid w:val="004139AC"/>
    <w:rsid w:val="004343C1"/>
    <w:rsid w:val="004A69F9"/>
    <w:rsid w:val="004C0D7C"/>
    <w:rsid w:val="00504CEF"/>
    <w:rsid w:val="00521179"/>
    <w:rsid w:val="0055429E"/>
    <w:rsid w:val="00567C7E"/>
    <w:rsid w:val="005C7BF4"/>
    <w:rsid w:val="005D7DE8"/>
    <w:rsid w:val="006579F2"/>
    <w:rsid w:val="00676368"/>
    <w:rsid w:val="00683F92"/>
    <w:rsid w:val="00694499"/>
    <w:rsid w:val="00694F0A"/>
    <w:rsid w:val="00696D06"/>
    <w:rsid w:val="006B197D"/>
    <w:rsid w:val="006B6AF4"/>
    <w:rsid w:val="006C6D2E"/>
    <w:rsid w:val="007002A7"/>
    <w:rsid w:val="00721AE6"/>
    <w:rsid w:val="00740829"/>
    <w:rsid w:val="00793758"/>
    <w:rsid w:val="007A06AE"/>
    <w:rsid w:val="007B540E"/>
    <w:rsid w:val="00807F4F"/>
    <w:rsid w:val="00814746"/>
    <w:rsid w:val="00821B37"/>
    <w:rsid w:val="00851BEE"/>
    <w:rsid w:val="00890F29"/>
    <w:rsid w:val="008D031E"/>
    <w:rsid w:val="00917394"/>
    <w:rsid w:val="009303B6"/>
    <w:rsid w:val="009866E2"/>
    <w:rsid w:val="009E0D18"/>
    <w:rsid w:val="00A40744"/>
    <w:rsid w:val="00A47614"/>
    <w:rsid w:val="00AC2178"/>
    <w:rsid w:val="00AE3359"/>
    <w:rsid w:val="00B24240"/>
    <w:rsid w:val="00B51EB3"/>
    <w:rsid w:val="00B979D8"/>
    <w:rsid w:val="00BB1CCD"/>
    <w:rsid w:val="00BB1F80"/>
    <w:rsid w:val="00BB7054"/>
    <w:rsid w:val="00C11B7B"/>
    <w:rsid w:val="00C45D3D"/>
    <w:rsid w:val="00CC38DB"/>
    <w:rsid w:val="00CF7F3E"/>
    <w:rsid w:val="00D02B8C"/>
    <w:rsid w:val="00D53C0F"/>
    <w:rsid w:val="00D766B7"/>
    <w:rsid w:val="00DB445C"/>
    <w:rsid w:val="00DF736E"/>
    <w:rsid w:val="00E129F9"/>
    <w:rsid w:val="00E237CA"/>
    <w:rsid w:val="00E60CF9"/>
    <w:rsid w:val="00F15C8F"/>
    <w:rsid w:val="00F759E1"/>
    <w:rsid w:val="00FB1001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BC0385"/>
  <w15:chartTrackingRefBased/>
  <w15:docId w15:val="{86E51F3A-DFA9-4E23-8036-C42C62B5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336"/>
  </w:style>
  <w:style w:type="paragraph" w:styleId="Heading1">
    <w:name w:val="heading 1"/>
    <w:basedOn w:val="Normal"/>
    <w:link w:val="Heading1Char"/>
    <w:uiPriority w:val="9"/>
    <w:qFormat/>
    <w:rsid w:val="00740829"/>
    <w:pPr>
      <w:spacing w:before="600" w:after="60"/>
      <w:ind w:left="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40829"/>
    <w:pPr>
      <w:spacing w:before="40" w:after="0"/>
      <w:ind w:left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40829"/>
    <w:pPr>
      <w:spacing w:before="40" w:after="0"/>
      <w:ind w:left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740829"/>
    <w:pPr>
      <w:spacing w:before="40" w:after="0"/>
      <w:ind w:left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740829"/>
    <w:pPr>
      <w:spacing w:before="40" w:after="0"/>
      <w:ind w:left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740829"/>
    <w:pPr>
      <w:spacing w:before="40" w:after="0"/>
      <w:ind w:left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F2336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sid w:val="00BB1F80"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793758"/>
    <w:rPr>
      <w:color w:val="707070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8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B1F8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1F8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1F80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1F8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1F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F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F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F8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1F80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1F80"/>
    <w:rPr>
      <w:rFonts w:ascii="Segoe UI" w:hAnsi="Segoe UI" w:cs="Segoe UI"/>
      <w:szCs w:val="16"/>
    </w:rPr>
  </w:style>
  <w:style w:type="paragraph" w:styleId="EnvelopeReturn">
    <w:name w:val="envelope return"/>
    <w:basedOn w:val="Normal"/>
    <w:uiPriority w:val="99"/>
    <w:semiHidden/>
    <w:unhideWhenUsed/>
    <w:rsid w:val="00BB1F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F8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F8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B1F8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F80"/>
    <w:rPr>
      <w:rFonts w:ascii="Consolas" w:hAnsi="Consolas"/>
      <w:szCs w:val="2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535353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3758"/>
    <w:rPr>
      <w:rFonts w:asciiTheme="majorHAnsi" w:eastAsiaTheme="majorEastAsia" w:hAnsiTheme="majorHAnsi" w:cstheme="majorBidi"/>
      <w:color w:val="535353" w:themeColor="accent1" w:themeShade="BF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10"/>
    <w:qFormat/>
    <w:rsid w:val="003F2336"/>
    <w:pPr>
      <w:numPr>
        <w:numId w:val="6"/>
      </w:numPr>
      <w:ind w:left="1080"/>
      <w:contextualSpacing/>
    </w:pPr>
  </w:style>
  <w:style w:type="paragraph" w:styleId="ListBullet">
    <w:name w:val="List Bullet"/>
    <w:basedOn w:val="Normal"/>
    <w:uiPriority w:val="10"/>
    <w:rsid w:val="003F2336"/>
    <w:pPr>
      <w:numPr>
        <w:numId w:val="11"/>
      </w:numPr>
      <w:ind w:left="1080"/>
      <w:contextualSpacing/>
    </w:pPr>
  </w:style>
  <w:style w:type="paragraph" w:styleId="ListParagraph">
    <w:name w:val="List Paragraph"/>
    <w:basedOn w:val="Normal"/>
    <w:uiPriority w:val="34"/>
    <w:unhideWhenUsed/>
    <w:qFormat/>
    <w:rsid w:val="008D03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5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dy\AppData\Roaming\Microsoft\Templates\Create%20an%20Outline.dotx" TargetMode="External"/></Relationships>
</file>

<file path=word/theme/theme1.xml><?xml version="1.0" encoding="utf-8"?>
<a:theme xmlns:a="http://schemas.openxmlformats.org/drawingml/2006/main" name="Outline">
  <a:themeElements>
    <a:clrScheme name="Custom 1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407F83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Dunbar</dc:creator>
  <cp:keywords/>
  <dc:description/>
  <cp:lastModifiedBy>Mandy Dunbar</cp:lastModifiedBy>
  <cp:revision>2</cp:revision>
  <dcterms:created xsi:type="dcterms:W3CDTF">2021-06-28T00:00:00Z</dcterms:created>
  <dcterms:modified xsi:type="dcterms:W3CDTF">2021-06-28T00:00:00Z</dcterms:modified>
</cp:coreProperties>
</file>