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8"/>
          <w:rtl w:val="0"/>
        </w:rPr>
        <w:t xml:space="preserve">How do the individual and collective rights of canadians influence immigration laws and policies?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singh Decision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april 4 1985 refugee rights day</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satnam singh came to canada seeking refugee status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was rejected under fed act of 96 because he could not appel </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court said that the immigration act violated section 7 of the charter of rights and freedoms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Section 7: everyone has the right to life liberty and security of the person, and the right not to be deprived thereof except in accordance with the principles of fundamental justice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 supreme court said everyone in the charter means everyone IN Canada</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result said everyone should at least be able to have a hearing</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canada then established the immigration and refugee board</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while waiting for the hearing the government provided lifes necessities </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there is a lot of controversy over the singh decision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some people believe that there shouldn’t be any automatic rights for refugees and that there should be “proper procedures” and be vetted abroad”. another controversy is that the singh decision was made by unelected officials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