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Why Compare and Contrast?</w:t>
      </w:r>
    </w:p>
    <w:p w:rsidR="00000000" w:rsidDel="00000000" w:rsidP="00000000" w:rsidRDefault="00000000" w:rsidRPr="00000000" w14:paraId="00000002">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Comparing and contrasting is such a natural part of who we are. In this age of social media, we often fall into the unhealthy trap of comparing our lives with each other. By looking at our “friends” social media accounts, we are motivated to eat healthier meals, go to the gym, or buy the latest smartphone. </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compare prices of items, what post secondary institutions we want to go to, which products are better, the electives we want to take, the most effective way to commute to school, the movies we want to see, and the list goes on! Start taking a mental note of all the ways you use the skill of comparison in your daily life and you will find you use it alot. </w:t>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it comes to literature, we often compare our lives with the characters in the books we read. We feel that we understand a character better when we connect to aspects of their identity. </w:t>
      </w:r>
    </w:p>
    <w:p w:rsidR="00000000" w:rsidDel="00000000" w:rsidP="00000000" w:rsidRDefault="00000000" w:rsidRPr="00000000" w14:paraId="00000008">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b w:val="1"/>
          <w:i w:val="1"/>
          <w:u w:val="single"/>
        </w:rPr>
      </w:pPr>
      <w:r w:rsidDel="00000000" w:rsidR="00000000" w:rsidRPr="00000000">
        <w:rPr>
          <w:rFonts w:ascii="Times New Roman" w:cs="Times New Roman" w:eastAsia="Times New Roman" w:hAnsi="Times New Roman"/>
          <w:b w:val="1"/>
          <w:i w:val="1"/>
          <w:u w:val="single"/>
          <w:rtl w:val="0"/>
        </w:rPr>
        <w:t xml:space="preserve">So Why Compare?</w:t>
      </w:r>
    </w:p>
    <w:p w:rsidR="00000000" w:rsidDel="00000000" w:rsidP="00000000" w:rsidRDefault="00000000" w:rsidRPr="00000000" w14:paraId="0000000A">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Compare - </w:t>
      </w:r>
      <w:r w:rsidDel="00000000" w:rsidR="00000000" w:rsidRPr="00000000">
        <w:rPr>
          <w:rFonts w:ascii="Times New Roman" w:cs="Times New Roman" w:eastAsia="Times New Roman" w:hAnsi="Times New Roman"/>
          <w:rtl w:val="0"/>
        </w:rPr>
        <w:t xml:space="preserve">To note the </w:t>
      </w:r>
      <w:r w:rsidDel="00000000" w:rsidR="00000000" w:rsidRPr="00000000">
        <w:rPr>
          <w:rFonts w:ascii="Times New Roman" w:cs="Times New Roman" w:eastAsia="Times New Roman" w:hAnsi="Times New Roman"/>
          <w:b w:val="1"/>
          <w:i w:val="1"/>
          <w:rtl w:val="0"/>
        </w:rPr>
        <w:t xml:space="preserve">similarities</w:t>
      </w:r>
      <w:r w:rsidDel="00000000" w:rsidR="00000000" w:rsidRPr="00000000">
        <w:rPr>
          <w:rFonts w:ascii="Times New Roman" w:cs="Times New Roman" w:eastAsia="Times New Roman" w:hAnsi="Times New Roman"/>
          <w:rtl w:val="0"/>
        </w:rPr>
        <w:t xml:space="preserve"> between two or more things.</w:t>
      </w:r>
    </w:p>
    <w:p w:rsidR="00000000" w:rsidDel="00000000" w:rsidP="00000000" w:rsidRDefault="00000000" w:rsidRPr="00000000" w14:paraId="0000000C">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literature, we compare various elements to highlight </w:t>
      </w:r>
      <w:r w:rsidDel="00000000" w:rsidR="00000000" w:rsidRPr="00000000">
        <w:rPr>
          <w:rFonts w:ascii="Times New Roman" w:cs="Times New Roman" w:eastAsia="Times New Roman" w:hAnsi="Times New Roman"/>
          <w:rtl w:val="0"/>
        </w:rPr>
        <w:t xml:space="preserve">commonalities, links and relationships between two or more things. Through the process of comparison we find common ground, often creating a deeper understanding for the object of our comparison whether that be a character, the setting of a story, or the events that mark the characters’ lives. </w:t>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we compare ourselves to a character from a text, for example, it enables us to see parts of ourselves in the character’s life story. We garner a sense of compassion and empathy for their struggles and feel joyful at their victories. Essentially, comparison in this sense, enables us to foster a deeper understanding that we all belong to the human race, creating connection and unity. </w:t>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b w:val="1"/>
          <w:i w:val="1"/>
          <w:u w:val="single"/>
        </w:rPr>
      </w:pPr>
      <w:r w:rsidDel="00000000" w:rsidR="00000000" w:rsidRPr="00000000">
        <w:rPr>
          <w:rFonts w:ascii="Times New Roman" w:cs="Times New Roman" w:eastAsia="Times New Roman" w:hAnsi="Times New Roman"/>
          <w:b w:val="1"/>
          <w:i w:val="1"/>
          <w:u w:val="single"/>
          <w:rtl w:val="0"/>
        </w:rPr>
        <w:t xml:space="preserve">So Why Contrast?</w:t>
      </w:r>
    </w:p>
    <w:p w:rsidR="00000000" w:rsidDel="00000000" w:rsidP="00000000" w:rsidRDefault="00000000" w:rsidRPr="00000000" w14:paraId="00000012">
      <w:pPr>
        <w:spacing w:line="240" w:lineRule="auto"/>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Contrast - </w:t>
      </w:r>
      <w:r w:rsidDel="00000000" w:rsidR="00000000" w:rsidRPr="00000000">
        <w:rPr>
          <w:rFonts w:ascii="Times New Roman" w:cs="Times New Roman" w:eastAsia="Times New Roman" w:hAnsi="Times New Roman"/>
          <w:rtl w:val="0"/>
        </w:rPr>
        <w:t xml:space="preserve">To note the </w:t>
      </w:r>
      <w:r w:rsidDel="00000000" w:rsidR="00000000" w:rsidRPr="00000000">
        <w:rPr>
          <w:rFonts w:ascii="Times New Roman" w:cs="Times New Roman" w:eastAsia="Times New Roman" w:hAnsi="Times New Roman"/>
          <w:b w:val="1"/>
          <w:i w:val="1"/>
          <w:rtl w:val="0"/>
        </w:rPr>
        <w:t xml:space="preserve">differences</w:t>
      </w:r>
      <w:r w:rsidDel="00000000" w:rsidR="00000000" w:rsidRPr="00000000">
        <w:rPr>
          <w:rFonts w:ascii="Times New Roman" w:cs="Times New Roman" w:eastAsia="Times New Roman" w:hAnsi="Times New Roman"/>
          <w:rtl w:val="0"/>
        </w:rPr>
        <w:t xml:space="preserve"> between two or more things.</w:t>
      </w:r>
    </w:p>
    <w:p w:rsidR="00000000" w:rsidDel="00000000" w:rsidP="00000000" w:rsidRDefault="00000000" w:rsidRPr="00000000" w14:paraId="00000014">
      <w:pPr>
        <w:spacing w:line="240" w:lineRule="auto"/>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literature, we contrast various aspects to showcase the differences between two or more items. Through this process we are able to understand how complex and dynamic the objects of our analysis actually are. </w:t>
      </w:r>
    </w:p>
    <w:p w:rsidR="00000000" w:rsidDel="00000000" w:rsidP="00000000" w:rsidRDefault="00000000" w:rsidRPr="00000000" w14:paraId="0000001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we contrast our lives against characters from a text, for example,</w:t>
      </w:r>
      <w:r w:rsidDel="00000000" w:rsidR="00000000" w:rsidRPr="00000000">
        <w:rPr>
          <w:rFonts w:ascii="Times New Roman" w:cs="Times New Roman" w:eastAsia="Times New Roman" w:hAnsi="Times New Roman"/>
          <w:rtl w:val="0"/>
        </w:rPr>
        <w:t xml:space="preserve"> we discover that experiences are unique and should be appreciated and explored as such. The differences are an entry point in understanding another’s perspective, background, or living conditions.  They can be used to recognize injustice, privilege, and other aspects of inequality.  In addition, contrasting items allows us to pinpoint the subtle differences between various items. </w:t>
      </w:r>
    </w:p>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ways can we compare and contrast in literature</w:t>
      </w:r>
    </w:p>
    <w:p w:rsidR="00000000" w:rsidDel="00000000" w:rsidP="00000000" w:rsidRDefault="00000000" w:rsidRPr="00000000" w14:paraId="00000020">
      <w:pPr>
        <w:numPr>
          <w:ilvl w:val="0"/>
          <w:numId w:val="7"/>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Within the same text (various elements), </w:t>
      </w:r>
    </w:p>
    <w:p w:rsidR="00000000" w:rsidDel="00000000" w:rsidP="00000000" w:rsidRDefault="00000000" w:rsidRPr="00000000" w14:paraId="00000021">
      <w:pPr>
        <w:numPr>
          <w:ilvl w:val="0"/>
          <w:numId w:val="7"/>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One text to another text</w:t>
      </w:r>
    </w:p>
    <w:p w:rsidR="00000000" w:rsidDel="00000000" w:rsidP="00000000" w:rsidRDefault="00000000" w:rsidRPr="00000000" w14:paraId="00000022">
      <w:pPr>
        <w:numPr>
          <w:ilvl w:val="0"/>
          <w:numId w:val="7"/>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Text to self</w:t>
      </w:r>
    </w:p>
    <w:p w:rsidR="00000000" w:rsidDel="00000000" w:rsidP="00000000" w:rsidRDefault="00000000" w:rsidRPr="00000000" w14:paraId="00000023">
      <w:pPr>
        <w:numPr>
          <w:ilvl w:val="0"/>
          <w:numId w:val="7"/>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Text to world</w:t>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Key Words for Compare and Contrast </w:t>
      </w:r>
    </w:p>
    <w:p w:rsidR="00000000" w:rsidDel="00000000" w:rsidP="00000000" w:rsidRDefault="00000000" w:rsidRPr="00000000" w14:paraId="00000026">
      <w:pPr>
        <w:rPr/>
      </w:pPr>
      <w:r w:rsidDel="00000000" w:rsidR="00000000" w:rsidRPr="00000000">
        <w:rPr>
          <w:rtl w:val="0"/>
        </w:rPr>
        <w:t xml:space="preserve">The following words indicate that two pieces are being compared. </w:t>
      </w:r>
    </w:p>
    <w:p w:rsidR="00000000" w:rsidDel="00000000" w:rsidP="00000000" w:rsidRDefault="00000000" w:rsidRPr="00000000" w14:paraId="00000027">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8">
            <w:pPr>
              <w:numPr>
                <w:ilvl w:val="0"/>
                <w:numId w:val="6"/>
              </w:numPr>
              <w:ind w:left="720" w:hanging="360"/>
              <w:jc w:val="both"/>
            </w:pPr>
            <w:r w:rsidDel="00000000" w:rsidR="00000000" w:rsidRPr="00000000">
              <w:rPr>
                <w:rtl w:val="0"/>
              </w:rPr>
              <w:t xml:space="preserve">Also </w:t>
            </w:r>
          </w:p>
          <w:p w:rsidR="00000000" w:rsidDel="00000000" w:rsidP="00000000" w:rsidRDefault="00000000" w:rsidRPr="00000000" w14:paraId="00000029">
            <w:pPr>
              <w:numPr>
                <w:ilvl w:val="0"/>
                <w:numId w:val="6"/>
              </w:numPr>
              <w:ind w:left="720" w:hanging="360"/>
              <w:jc w:val="both"/>
            </w:pPr>
            <w:r w:rsidDel="00000000" w:rsidR="00000000" w:rsidRPr="00000000">
              <w:rPr>
                <w:rtl w:val="0"/>
              </w:rPr>
              <w:t xml:space="preserve">As well as </w:t>
            </w:r>
          </w:p>
          <w:p w:rsidR="00000000" w:rsidDel="00000000" w:rsidP="00000000" w:rsidRDefault="00000000" w:rsidRPr="00000000" w14:paraId="0000002A">
            <w:pPr>
              <w:numPr>
                <w:ilvl w:val="0"/>
                <w:numId w:val="6"/>
              </w:numPr>
              <w:ind w:left="720" w:hanging="360"/>
              <w:jc w:val="both"/>
            </w:pPr>
            <w:r w:rsidDel="00000000" w:rsidR="00000000" w:rsidRPr="00000000">
              <w:rPr>
                <w:rtl w:val="0"/>
              </w:rPr>
              <w:t xml:space="preserve">Both </w:t>
            </w:r>
          </w:p>
          <w:p w:rsidR="00000000" w:rsidDel="00000000" w:rsidP="00000000" w:rsidRDefault="00000000" w:rsidRPr="00000000" w14:paraId="0000002B">
            <w:pPr>
              <w:numPr>
                <w:ilvl w:val="0"/>
                <w:numId w:val="6"/>
              </w:numPr>
              <w:ind w:left="720" w:hanging="360"/>
              <w:jc w:val="both"/>
            </w:pPr>
            <w:r w:rsidDel="00000000" w:rsidR="00000000" w:rsidRPr="00000000">
              <w:rPr>
                <w:rtl w:val="0"/>
              </w:rPr>
              <w:t xml:space="preserve">Comparatively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numPr>
                <w:ilvl w:val="0"/>
                <w:numId w:val="6"/>
              </w:numPr>
              <w:ind w:left="720" w:hanging="360"/>
              <w:jc w:val="both"/>
            </w:pPr>
            <w:r w:rsidDel="00000000" w:rsidR="00000000" w:rsidRPr="00000000">
              <w:rPr>
                <w:rtl w:val="0"/>
              </w:rPr>
              <w:t xml:space="preserve">In the same way </w:t>
            </w:r>
          </w:p>
          <w:p w:rsidR="00000000" w:rsidDel="00000000" w:rsidP="00000000" w:rsidRDefault="00000000" w:rsidRPr="00000000" w14:paraId="0000002D">
            <w:pPr>
              <w:numPr>
                <w:ilvl w:val="0"/>
                <w:numId w:val="6"/>
              </w:numPr>
              <w:ind w:left="720" w:hanging="360"/>
              <w:jc w:val="both"/>
            </w:pPr>
            <w:r w:rsidDel="00000000" w:rsidR="00000000" w:rsidRPr="00000000">
              <w:rPr>
                <w:rtl w:val="0"/>
              </w:rPr>
              <w:t xml:space="preserve">In addition </w:t>
            </w:r>
          </w:p>
          <w:p w:rsidR="00000000" w:rsidDel="00000000" w:rsidP="00000000" w:rsidRDefault="00000000" w:rsidRPr="00000000" w14:paraId="0000002E">
            <w:pPr>
              <w:numPr>
                <w:ilvl w:val="0"/>
                <w:numId w:val="6"/>
              </w:numPr>
              <w:ind w:left="720" w:hanging="360"/>
              <w:jc w:val="both"/>
            </w:pPr>
            <w:r w:rsidDel="00000000" w:rsidR="00000000" w:rsidRPr="00000000">
              <w:rPr>
                <w:rtl w:val="0"/>
              </w:rPr>
              <w:t xml:space="preserve">Just as </w:t>
            </w:r>
          </w:p>
          <w:p w:rsidR="00000000" w:rsidDel="00000000" w:rsidP="00000000" w:rsidRDefault="00000000" w:rsidRPr="00000000" w14:paraId="0000002F">
            <w:pPr>
              <w:numPr>
                <w:ilvl w:val="0"/>
                <w:numId w:val="6"/>
              </w:numPr>
              <w:ind w:left="720" w:hanging="360"/>
              <w:jc w:val="both"/>
            </w:pPr>
            <w:r w:rsidDel="00000000" w:rsidR="00000000" w:rsidRPr="00000000">
              <w:rPr>
                <w:rtl w:val="0"/>
              </w:rPr>
              <w:t xml:space="preserve">Like </w:t>
            </w:r>
          </w:p>
          <w:p w:rsidR="00000000" w:rsidDel="00000000" w:rsidP="00000000" w:rsidRDefault="00000000" w:rsidRPr="00000000" w14:paraId="00000030">
            <w:pPr>
              <w:numPr>
                <w:ilvl w:val="0"/>
                <w:numId w:val="6"/>
              </w:numPr>
              <w:ind w:left="720" w:hanging="360"/>
              <w:jc w:val="both"/>
            </w:pPr>
            <w:r w:rsidDel="00000000" w:rsidR="00000000" w:rsidRPr="00000000">
              <w:rPr>
                <w:rtl w:val="0"/>
              </w:rPr>
              <w:t xml:space="preserve">Most importantly </w:t>
            </w:r>
          </w:p>
        </w:tc>
      </w:tr>
      <w:tr>
        <w:trPr>
          <w:trHeight w:val="175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numPr>
                <w:ilvl w:val="0"/>
                <w:numId w:val="6"/>
              </w:numPr>
              <w:ind w:left="720" w:hanging="360"/>
              <w:jc w:val="both"/>
            </w:pPr>
            <w:r w:rsidDel="00000000" w:rsidR="00000000" w:rsidRPr="00000000">
              <w:rPr>
                <w:rtl w:val="0"/>
              </w:rPr>
              <w:t xml:space="preserve">Similarly </w:t>
            </w:r>
          </w:p>
          <w:p w:rsidR="00000000" w:rsidDel="00000000" w:rsidP="00000000" w:rsidRDefault="00000000" w:rsidRPr="00000000" w14:paraId="00000032">
            <w:pPr>
              <w:numPr>
                <w:ilvl w:val="0"/>
                <w:numId w:val="6"/>
              </w:numPr>
              <w:ind w:left="720" w:hanging="360"/>
              <w:jc w:val="both"/>
            </w:pPr>
            <w:r w:rsidDel="00000000" w:rsidR="00000000" w:rsidRPr="00000000">
              <w:rPr>
                <w:rtl w:val="0"/>
              </w:rPr>
              <w:t xml:space="preserve">The same as </w:t>
            </w:r>
          </w:p>
          <w:p w:rsidR="00000000" w:rsidDel="00000000" w:rsidP="00000000" w:rsidRDefault="00000000" w:rsidRPr="00000000" w14:paraId="00000033">
            <w:pPr>
              <w:numPr>
                <w:ilvl w:val="0"/>
                <w:numId w:val="6"/>
              </w:numPr>
              <w:ind w:left="720" w:hanging="360"/>
              <w:jc w:val="both"/>
            </w:pPr>
            <w:r w:rsidDel="00000000" w:rsidR="00000000" w:rsidRPr="00000000">
              <w:rPr>
                <w:rtl w:val="0"/>
              </w:rPr>
              <w:t xml:space="preserve">Too </w:t>
            </w:r>
          </w:p>
          <w:p w:rsidR="00000000" w:rsidDel="00000000" w:rsidP="00000000" w:rsidRDefault="00000000" w:rsidRPr="00000000" w14:paraId="00000034">
            <w:pPr>
              <w:numPr>
                <w:ilvl w:val="0"/>
                <w:numId w:val="6"/>
              </w:numPr>
              <w:spacing w:after="0" w:afterAutospacing="0"/>
              <w:ind w:left="720" w:hanging="360"/>
              <w:jc w:val="both"/>
            </w:pPr>
            <w:r w:rsidDel="00000000" w:rsidR="00000000" w:rsidRPr="00000000">
              <w:rPr>
                <w:color w:val="333333"/>
                <w:rtl w:val="0"/>
              </w:rPr>
              <w:t xml:space="preserve">In the same way</w:t>
            </w:r>
          </w:p>
          <w:p w:rsidR="00000000" w:rsidDel="00000000" w:rsidP="00000000" w:rsidRDefault="00000000" w:rsidRPr="00000000" w14:paraId="00000035">
            <w:pPr>
              <w:numPr>
                <w:ilvl w:val="0"/>
                <w:numId w:val="1"/>
              </w:numPr>
              <w:shd w:fill="ffffff" w:val="clear"/>
              <w:spacing w:after="0" w:afterAutospacing="0" w:before="0" w:beforeAutospacing="0" w:line="408" w:lineRule="auto"/>
              <w:ind w:left="720" w:hanging="360"/>
              <w:jc w:val="both"/>
              <w:rPr>
                <w:sz w:val="22"/>
                <w:szCs w:val="22"/>
              </w:rPr>
            </w:pPr>
            <w:r w:rsidDel="00000000" w:rsidR="00000000" w:rsidRPr="00000000">
              <w:rPr>
                <w:color w:val="333333"/>
                <w:rtl w:val="0"/>
              </w:rPr>
              <w:t xml:space="preserve">In like manner</w:t>
            </w:r>
          </w:p>
          <w:p w:rsidR="00000000" w:rsidDel="00000000" w:rsidP="00000000" w:rsidRDefault="00000000" w:rsidRPr="00000000" w14:paraId="00000036">
            <w:pPr>
              <w:numPr>
                <w:ilvl w:val="0"/>
                <w:numId w:val="1"/>
              </w:numPr>
              <w:shd w:fill="ffffff" w:val="clear"/>
              <w:spacing w:after="760" w:before="0" w:beforeAutospacing="0" w:line="408" w:lineRule="auto"/>
              <w:ind w:left="720" w:hanging="360"/>
              <w:jc w:val="both"/>
              <w:rPr>
                <w:color w:val="333333"/>
                <w:u w:val="none"/>
              </w:rPr>
            </w:pPr>
            <w:r w:rsidDel="00000000" w:rsidR="00000000" w:rsidRPr="00000000">
              <w:rPr>
                <w:color w:val="333333"/>
                <w:rtl w:val="0"/>
              </w:rPr>
              <w:t xml:space="preserve">In the same manner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numPr>
                <w:ilvl w:val="0"/>
                <w:numId w:val="1"/>
              </w:numPr>
              <w:shd w:fill="ffffff" w:val="clear"/>
              <w:spacing w:after="0" w:afterAutospacing="0" w:before="600" w:line="240" w:lineRule="auto"/>
              <w:ind w:left="720" w:hanging="360"/>
              <w:jc w:val="both"/>
              <w:rPr>
                <w:sz w:val="22"/>
                <w:szCs w:val="22"/>
              </w:rPr>
            </w:pPr>
            <w:r w:rsidDel="00000000" w:rsidR="00000000" w:rsidRPr="00000000">
              <w:rPr>
                <w:color w:val="333333"/>
                <w:rtl w:val="0"/>
              </w:rPr>
              <w:t xml:space="preserve">Likewise</w:t>
            </w:r>
          </w:p>
          <w:p w:rsidR="00000000" w:rsidDel="00000000" w:rsidP="00000000" w:rsidRDefault="00000000" w:rsidRPr="00000000" w14:paraId="00000038">
            <w:pPr>
              <w:numPr>
                <w:ilvl w:val="0"/>
                <w:numId w:val="1"/>
              </w:numPr>
              <w:shd w:fill="ffffff" w:val="clear"/>
              <w:spacing w:after="0" w:afterAutospacing="0" w:before="0" w:beforeAutospacing="0" w:line="240" w:lineRule="auto"/>
              <w:ind w:left="720" w:hanging="360"/>
              <w:jc w:val="both"/>
              <w:rPr>
                <w:sz w:val="22"/>
                <w:szCs w:val="22"/>
              </w:rPr>
            </w:pPr>
            <w:r w:rsidDel="00000000" w:rsidR="00000000" w:rsidRPr="00000000">
              <w:rPr>
                <w:color w:val="333333"/>
                <w:rtl w:val="0"/>
              </w:rPr>
              <w:t xml:space="preserve">Similarly</w:t>
            </w:r>
          </w:p>
          <w:p w:rsidR="00000000" w:rsidDel="00000000" w:rsidP="00000000" w:rsidRDefault="00000000" w:rsidRPr="00000000" w14:paraId="00000039">
            <w:pPr>
              <w:numPr>
                <w:ilvl w:val="0"/>
                <w:numId w:val="1"/>
              </w:numPr>
              <w:shd w:fill="ffffff" w:val="clear"/>
              <w:spacing w:after="0" w:afterAutospacing="0" w:before="0" w:beforeAutospacing="0" w:line="240" w:lineRule="auto"/>
              <w:ind w:left="720" w:hanging="360"/>
              <w:jc w:val="both"/>
              <w:rPr>
                <w:sz w:val="22"/>
                <w:szCs w:val="22"/>
              </w:rPr>
            </w:pPr>
            <w:r w:rsidDel="00000000" w:rsidR="00000000" w:rsidRPr="00000000">
              <w:rPr>
                <w:color w:val="333333"/>
                <w:rtl w:val="0"/>
              </w:rPr>
              <w:t xml:space="preserve">By the same token</w:t>
            </w:r>
          </w:p>
          <w:p w:rsidR="00000000" w:rsidDel="00000000" w:rsidP="00000000" w:rsidRDefault="00000000" w:rsidRPr="00000000" w14:paraId="0000003A">
            <w:pPr>
              <w:numPr>
                <w:ilvl w:val="0"/>
                <w:numId w:val="1"/>
              </w:numPr>
              <w:shd w:fill="ffffff" w:val="clear"/>
              <w:spacing w:after="760" w:before="0" w:beforeAutospacing="0" w:line="240" w:lineRule="auto"/>
              <w:ind w:left="720" w:hanging="360"/>
              <w:jc w:val="both"/>
              <w:rPr>
                <w:color w:val="333333"/>
                <w:u w:val="none"/>
              </w:rPr>
            </w:pPr>
            <w:r w:rsidDel="00000000" w:rsidR="00000000" w:rsidRPr="00000000">
              <w:rPr>
                <w:color w:val="333333"/>
                <w:rtl w:val="0"/>
              </w:rPr>
              <w:t xml:space="preserve">Have in common</w:t>
            </w:r>
          </w:p>
        </w:tc>
      </w:tr>
    </w:tbl>
    <w:p w:rsidR="00000000" w:rsidDel="00000000" w:rsidP="00000000" w:rsidRDefault="00000000" w:rsidRPr="00000000" w14:paraId="0000003B">
      <w:pPr>
        <w:rPr>
          <w:color w:val="333333"/>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 following words signal that two pieces are being contrasted. </w:t>
      </w:r>
    </w:p>
    <w:p w:rsidR="00000000" w:rsidDel="00000000" w:rsidP="00000000" w:rsidRDefault="00000000" w:rsidRPr="00000000" w14:paraId="0000003D">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21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numPr>
                <w:ilvl w:val="0"/>
                <w:numId w:val="4"/>
              </w:numPr>
              <w:ind w:left="720" w:hanging="360"/>
              <w:rPr>
                <w:u w:val="none"/>
              </w:rPr>
            </w:pPr>
            <w:r w:rsidDel="00000000" w:rsidR="00000000" w:rsidRPr="00000000">
              <w:rPr>
                <w:rtl w:val="0"/>
              </w:rPr>
              <w:t xml:space="preserve">Although </w:t>
            </w:r>
          </w:p>
          <w:p w:rsidR="00000000" w:rsidDel="00000000" w:rsidP="00000000" w:rsidRDefault="00000000" w:rsidRPr="00000000" w14:paraId="0000003F">
            <w:pPr>
              <w:numPr>
                <w:ilvl w:val="0"/>
                <w:numId w:val="5"/>
              </w:numPr>
              <w:ind w:left="720" w:hanging="360"/>
              <w:rPr>
                <w:u w:val="none"/>
              </w:rPr>
            </w:pPr>
            <w:r w:rsidDel="00000000" w:rsidR="00000000" w:rsidRPr="00000000">
              <w:rPr>
                <w:rtl w:val="0"/>
              </w:rPr>
              <w:t xml:space="preserve">Besides </w:t>
            </w:r>
          </w:p>
          <w:p w:rsidR="00000000" w:rsidDel="00000000" w:rsidP="00000000" w:rsidRDefault="00000000" w:rsidRPr="00000000" w14:paraId="00000040">
            <w:pPr>
              <w:numPr>
                <w:ilvl w:val="0"/>
                <w:numId w:val="5"/>
              </w:numPr>
              <w:ind w:left="720" w:hanging="360"/>
              <w:rPr>
                <w:u w:val="none"/>
              </w:rPr>
            </w:pPr>
            <w:r w:rsidDel="00000000" w:rsidR="00000000" w:rsidRPr="00000000">
              <w:rPr>
                <w:rtl w:val="0"/>
              </w:rPr>
              <w:t xml:space="preserve">But </w:t>
            </w:r>
          </w:p>
          <w:p w:rsidR="00000000" w:rsidDel="00000000" w:rsidP="00000000" w:rsidRDefault="00000000" w:rsidRPr="00000000" w14:paraId="00000041">
            <w:pPr>
              <w:numPr>
                <w:ilvl w:val="0"/>
                <w:numId w:val="5"/>
              </w:numPr>
              <w:ind w:left="720" w:hanging="360"/>
              <w:rPr>
                <w:u w:val="none"/>
              </w:rPr>
            </w:pPr>
            <w:r w:rsidDel="00000000" w:rsidR="00000000" w:rsidRPr="00000000">
              <w:rPr>
                <w:rtl w:val="0"/>
              </w:rPr>
              <w:t xml:space="preserve">Compared with </w:t>
            </w:r>
          </w:p>
          <w:p w:rsidR="00000000" w:rsidDel="00000000" w:rsidP="00000000" w:rsidRDefault="00000000" w:rsidRPr="00000000" w14:paraId="00000042">
            <w:pPr>
              <w:numPr>
                <w:ilvl w:val="0"/>
                <w:numId w:val="5"/>
              </w:numPr>
              <w:ind w:left="720" w:hanging="360"/>
              <w:rPr>
                <w:u w:val="none"/>
              </w:rPr>
            </w:pPr>
            <w:r w:rsidDel="00000000" w:rsidR="00000000" w:rsidRPr="00000000">
              <w:rPr>
                <w:rtl w:val="0"/>
              </w:rPr>
              <w:t xml:space="preserve">On the other hand</w:t>
            </w:r>
          </w:p>
          <w:p w:rsidR="00000000" w:rsidDel="00000000" w:rsidP="00000000" w:rsidRDefault="00000000" w:rsidRPr="00000000" w14:paraId="00000043">
            <w:pPr>
              <w:numPr>
                <w:ilvl w:val="0"/>
                <w:numId w:val="5"/>
              </w:numPr>
              <w:ind w:left="720" w:hanging="360"/>
              <w:rPr>
                <w:u w:val="none"/>
              </w:rPr>
            </w:pPr>
            <w:r w:rsidDel="00000000" w:rsidR="00000000" w:rsidRPr="00000000">
              <w:rPr>
                <w:rtl w:val="0"/>
              </w:rPr>
              <w:t xml:space="preserve">On the contrary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numPr>
                <w:ilvl w:val="0"/>
                <w:numId w:val="5"/>
              </w:numPr>
              <w:ind w:left="720" w:hanging="360"/>
            </w:pPr>
            <w:r w:rsidDel="00000000" w:rsidR="00000000" w:rsidRPr="00000000">
              <w:rPr>
                <w:rtl w:val="0"/>
              </w:rPr>
              <w:t xml:space="preserve">Conversely </w:t>
            </w:r>
          </w:p>
          <w:p w:rsidR="00000000" w:rsidDel="00000000" w:rsidP="00000000" w:rsidRDefault="00000000" w:rsidRPr="00000000" w14:paraId="00000045">
            <w:pPr>
              <w:numPr>
                <w:ilvl w:val="0"/>
                <w:numId w:val="5"/>
              </w:numPr>
              <w:ind w:left="720" w:hanging="360"/>
            </w:pPr>
            <w:r w:rsidDel="00000000" w:rsidR="00000000" w:rsidRPr="00000000">
              <w:rPr>
                <w:rtl w:val="0"/>
              </w:rPr>
              <w:t xml:space="preserve">Differs, differs from</w:t>
            </w:r>
          </w:p>
          <w:p w:rsidR="00000000" w:rsidDel="00000000" w:rsidP="00000000" w:rsidRDefault="00000000" w:rsidRPr="00000000" w14:paraId="00000046">
            <w:pPr>
              <w:numPr>
                <w:ilvl w:val="0"/>
                <w:numId w:val="5"/>
              </w:numPr>
              <w:ind w:left="720" w:hanging="360"/>
            </w:pPr>
            <w:r w:rsidDel="00000000" w:rsidR="00000000" w:rsidRPr="00000000">
              <w:rPr>
                <w:rtl w:val="0"/>
              </w:rPr>
              <w:t xml:space="preserve">Even though </w:t>
            </w:r>
          </w:p>
          <w:p w:rsidR="00000000" w:rsidDel="00000000" w:rsidP="00000000" w:rsidRDefault="00000000" w:rsidRPr="00000000" w14:paraId="00000047">
            <w:pPr>
              <w:numPr>
                <w:ilvl w:val="0"/>
                <w:numId w:val="5"/>
              </w:numPr>
              <w:ind w:left="720" w:hanging="360"/>
            </w:pPr>
            <w:r w:rsidDel="00000000" w:rsidR="00000000" w:rsidRPr="00000000">
              <w:rPr>
                <w:rtl w:val="0"/>
              </w:rPr>
              <w:t xml:space="preserve">Furthermore</w:t>
            </w:r>
          </w:p>
          <w:p w:rsidR="00000000" w:rsidDel="00000000" w:rsidP="00000000" w:rsidRDefault="00000000" w:rsidRPr="00000000" w14:paraId="00000048">
            <w:pPr>
              <w:numPr>
                <w:ilvl w:val="0"/>
                <w:numId w:val="5"/>
              </w:numPr>
              <w:ind w:left="720" w:hanging="360"/>
              <w:rPr>
                <w:u w:val="none"/>
              </w:rPr>
            </w:pPr>
            <w:r w:rsidDel="00000000" w:rsidR="00000000" w:rsidRPr="00000000">
              <w:rPr>
                <w:rtl w:val="0"/>
              </w:rPr>
              <w:t xml:space="preserve">However</w:t>
            </w:r>
          </w:p>
          <w:p w:rsidR="00000000" w:rsidDel="00000000" w:rsidP="00000000" w:rsidRDefault="00000000" w:rsidRPr="00000000" w14:paraId="00000049">
            <w:pPr>
              <w:numPr>
                <w:ilvl w:val="0"/>
                <w:numId w:val="5"/>
              </w:numPr>
              <w:ind w:left="720" w:hanging="360"/>
              <w:rPr>
                <w:u w:val="none"/>
              </w:rPr>
            </w:pPr>
            <w:r w:rsidDel="00000000" w:rsidR="00000000" w:rsidRPr="00000000">
              <w:rPr>
                <w:rtl w:val="0"/>
              </w:rPr>
              <w:t xml:space="preserve">Alternatively </w:t>
            </w:r>
          </w:p>
          <w:p w:rsidR="00000000" w:rsidDel="00000000" w:rsidP="00000000" w:rsidRDefault="00000000" w:rsidRPr="00000000" w14:paraId="0000004A">
            <w:pPr>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 contrast to</w:t>
            </w:r>
          </w:p>
          <w:p w:rsidR="00000000" w:rsidDel="00000000" w:rsidP="00000000" w:rsidRDefault="00000000" w:rsidRPr="00000000" w14:paraId="0000004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Instead</w:t>
            </w:r>
          </w:p>
          <w:p w:rsidR="00000000" w:rsidDel="00000000" w:rsidP="00000000" w:rsidRDefault="00000000" w:rsidRPr="00000000" w14:paraId="0000004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Less than</w:t>
            </w:r>
          </w:p>
          <w:p w:rsidR="00000000" w:rsidDel="00000000" w:rsidP="00000000" w:rsidRDefault="00000000" w:rsidRPr="00000000" w14:paraId="0000004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More than</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Nevertheless</w:t>
            </w:r>
          </w:p>
          <w:p w:rsidR="00000000" w:rsidDel="00000000" w:rsidP="00000000" w:rsidRDefault="00000000" w:rsidRPr="00000000" w14:paraId="0000005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Notwithstanding</w:t>
            </w:r>
          </w:p>
          <w:p w:rsidR="00000000" w:rsidDel="00000000" w:rsidP="00000000" w:rsidRDefault="00000000" w:rsidRPr="00000000" w14:paraId="0000005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Otherwise</w:t>
            </w:r>
          </w:p>
          <w:p w:rsidR="00000000" w:rsidDel="00000000" w:rsidP="00000000" w:rsidRDefault="00000000" w:rsidRPr="00000000" w14:paraId="0000005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Rather than</w:t>
            </w:r>
          </w:p>
          <w:p w:rsidR="00000000" w:rsidDel="00000000" w:rsidP="00000000" w:rsidRDefault="00000000" w:rsidRPr="00000000" w14:paraId="0000005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Regardless</w:t>
            </w:r>
          </w:p>
          <w:p w:rsidR="00000000" w:rsidDel="00000000" w:rsidP="00000000" w:rsidRDefault="00000000" w:rsidRPr="00000000" w14:paraId="0000005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Though, Unless, Unlike, While, Yet</w:t>
            </w:r>
          </w:p>
        </w:tc>
      </w:tr>
    </w:tbl>
    <w:p w:rsidR="00000000" w:rsidDel="00000000" w:rsidP="00000000" w:rsidRDefault="00000000" w:rsidRPr="00000000" w14:paraId="00000058">
      <w:pPr>
        <w:rPr/>
      </w:pPr>
      <w:r w:rsidDel="00000000" w:rsidR="00000000" w:rsidRPr="00000000">
        <w:rPr>
          <w:rtl w:val="0"/>
        </w:rPr>
      </w:r>
    </w:p>
    <w:sectPr>
      <w:pgSz w:h="15840" w:w="12240"/>
      <w:pgMar w:bottom="144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