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000" w:firstRow="0" w:lastRow="0" w:firstColumn="0" w:lastColumn="0" w:noHBand="0" w:noVBand="0"/>
      </w:tblPr>
      <w:tblGrid>
        <w:gridCol w:w="5203"/>
        <w:gridCol w:w="5203"/>
      </w:tblGrid>
      <w:tr w:rsidR="003B60FE" w14:paraId="6EA18F21" w14:textId="77777777" w:rsidTr="3E20F38B">
        <w:trPr>
          <w:trHeight w:val="710"/>
        </w:trPr>
        <w:tc>
          <w:tcPr>
            <w:tcW w:w="5000" w:type="pct"/>
            <w:gridSpan w:val="2"/>
            <w:tcBorders>
              <w:top w:val="thickThinLargeGap" w:sz="24" w:space="0" w:color="auto"/>
              <w:bottom w:val="single" w:sz="4" w:space="0" w:color="auto"/>
            </w:tcBorders>
          </w:tcPr>
          <w:p w14:paraId="72A60953" w14:textId="246ECED0" w:rsidR="009313FD" w:rsidRDefault="00E0725A" w:rsidP="00B55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The Feudal Syst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</w:rPr>
              <w:t>em</w:t>
            </w:r>
          </w:p>
        </w:tc>
      </w:tr>
      <w:tr w:rsidR="003B60FE" w14:paraId="782BA5DC" w14:textId="77777777" w:rsidTr="3E20F38B">
        <w:trPr>
          <w:trHeight w:val="89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26DF1" w14:textId="62E3EA8D" w:rsidR="000C23FD" w:rsidRDefault="3E20F38B" w:rsidP="000C23FD">
            <w:pPr>
              <w:rPr>
                <w:rFonts w:ascii="Arial" w:hAnsi="Arial"/>
                <w:sz w:val="20"/>
              </w:rPr>
            </w:pPr>
            <w:r w:rsidRPr="3E20F38B">
              <w:rPr>
                <w:rFonts w:ascii="Arial" w:eastAsia="Arial" w:hAnsi="Arial" w:cs="Arial"/>
                <w:b/>
                <w:bCs/>
              </w:rPr>
              <w:t>Learning outcome(s)</w:t>
            </w:r>
            <w:r w:rsidR="008A7A78">
              <w:rPr>
                <w:rFonts w:ascii="Arial" w:eastAsia="Arial" w:hAnsi="Arial" w:cs="Arial"/>
                <w:sz w:val="20"/>
                <w:szCs w:val="20"/>
              </w:rPr>
              <w:t xml:space="preserve"> SWBAT </w:t>
            </w:r>
            <w:r w:rsidR="007C271C">
              <w:rPr>
                <w:rFonts w:ascii="Arial" w:eastAsia="Arial" w:hAnsi="Arial" w:cs="Arial"/>
                <w:sz w:val="20"/>
                <w:szCs w:val="20"/>
              </w:rPr>
              <w:t>explain</w:t>
            </w:r>
            <w:r w:rsidR="006A703B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 w:rsidR="006D39F5">
              <w:rPr>
                <w:rFonts w:ascii="Arial" w:eastAsia="Arial" w:hAnsi="Arial" w:cs="Arial"/>
                <w:sz w:val="20"/>
                <w:szCs w:val="20"/>
              </w:rPr>
              <w:t xml:space="preserve">social categories of feudalism; SWBAT explain how </w:t>
            </w:r>
            <w:proofErr w:type="spellStart"/>
            <w:r w:rsidR="006D39F5">
              <w:rPr>
                <w:rFonts w:ascii="Arial" w:eastAsia="Arial" w:hAnsi="Arial" w:cs="Arial"/>
                <w:sz w:val="20"/>
                <w:szCs w:val="20"/>
              </w:rPr>
              <w:t>seigneurialism</w:t>
            </w:r>
            <w:proofErr w:type="spellEnd"/>
            <w:r w:rsidR="006D39F5">
              <w:rPr>
                <w:rFonts w:ascii="Arial" w:eastAsia="Arial" w:hAnsi="Arial" w:cs="Arial"/>
                <w:sz w:val="20"/>
                <w:szCs w:val="20"/>
              </w:rPr>
              <w:t xml:space="preserve"> worked i</w:t>
            </w:r>
            <w:r w:rsidR="00E21F26">
              <w:rPr>
                <w:rFonts w:ascii="Arial" w:eastAsia="Arial" w:hAnsi="Arial" w:cs="Arial"/>
                <w:sz w:val="20"/>
                <w:szCs w:val="20"/>
              </w:rPr>
              <w:t>n Europe during this</w:t>
            </w:r>
            <w:r w:rsidR="006D39F5">
              <w:rPr>
                <w:rFonts w:ascii="Arial" w:eastAsia="Arial" w:hAnsi="Arial" w:cs="Arial"/>
                <w:sz w:val="20"/>
                <w:szCs w:val="20"/>
              </w:rPr>
              <w:t xml:space="preserve"> period</w:t>
            </w:r>
          </w:p>
          <w:p w14:paraId="5E85E2CB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433DAB8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F72BF9B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0AF646C8" w14:textId="77777777" w:rsidTr="3E20F38B">
        <w:trPr>
          <w:trHeight w:val="107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A8215" w14:textId="65C63CCF" w:rsidR="000C23FD" w:rsidRDefault="000C23FD" w:rsidP="000C23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Purpose </w:t>
            </w:r>
            <w:r w:rsidR="00DF0C18">
              <w:rPr>
                <w:rFonts w:ascii="Arial" w:hAnsi="Arial"/>
                <w:sz w:val="20"/>
              </w:rPr>
              <w:t>This lesson will</w:t>
            </w:r>
            <w:r w:rsidR="007E3AAF">
              <w:rPr>
                <w:rFonts w:ascii="Arial" w:hAnsi="Arial"/>
                <w:sz w:val="20"/>
              </w:rPr>
              <w:t xml:space="preserve"> </w:t>
            </w:r>
            <w:r w:rsidR="00270C8C">
              <w:rPr>
                <w:rFonts w:ascii="Arial" w:hAnsi="Arial"/>
                <w:sz w:val="20"/>
              </w:rPr>
              <w:t>demonstrate the extent to which society has changed over</w:t>
            </w:r>
            <w:r w:rsidR="00F10A23">
              <w:rPr>
                <w:rFonts w:ascii="Arial" w:hAnsi="Arial"/>
                <w:sz w:val="20"/>
              </w:rPr>
              <w:t xml:space="preserve"> the course of a thousand years in terms of the level of social stratification that existed in the Middle Ages.</w:t>
            </w:r>
            <w:r w:rsidR="00856206">
              <w:rPr>
                <w:rFonts w:ascii="Arial" w:hAnsi="Arial"/>
                <w:sz w:val="20"/>
              </w:rPr>
              <w:t xml:space="preserve">  Such an analysis will give </w:t>
            </w:r>
            <w:proofErr w:type="spellStart"/>
            <w:r w:rsidR="00856206">
              <w:rPr>
                <w:rFonts w:ascii="Arial" w:hAnsi="Arial"/>
                <w:sz w:val="20"/>
              </w:rPr>
              <w:t>Ss</w:t>
            </w:r>
            <w:proofErr w:type="spellEnd"/>
            <w:r w:rsidR="00856206">
              <w:rPr>
                <w:rFonts w:ascii="Arial" w:hAnsi="Arial"/>
                <w:sz w:val="20"/>
              </w:rPr>
              <w:t xml:space="preserve"> perspective on how much more democratic our society is currently when compared to the decision-making processes that existed in the Middle Ages.</w:t>
            </w:r>
          </w:p>
          <w:p w14:paraId="15D591C0" w14:textId="77777777" w:rsidR="003B60FE" w:rsidRDefault="003B60FE">
            <w:pPr>
              <w:rPr>
                <w:rFonts w:ascii="Arial" w:hAnsi="Arial"/>
                <w:b/>
              </w:rPr>
            </w:pPr>
          </w:p>
        </w:tc>
      </w:tr>
      <w:tr w:rsidR="003B60FE" w14:paraId="75DCDCDD" w14:textId="77777777" w:rsidTr="3E20F38B">
        <w:trPr>
          <w:trHeight w:val="10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1B5CC" w14:textId="56465BE2" w:rsidR="003B60FE" w:rsidRDefault="000C23FD" w:rsidP="00C2649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Hook</w:t>
            </w:r>
            <w:r>
              <w:rPr>
                <w:rFonts w:ascii="Arial" w:hAnsi="Arial"/>
              </w:rPr>
              <w:t xml:space="preserve"> </w:t>
            </w:r>
            <w:r w:rsidR="005C3E4B">
              <w:rPr>
                <w:rFonts w:ascii="Arial" w:hAnsi="Arial"/>
                <w:sz w:val="20"/>
              </w:rPr>
              <w:t xml:space="preserve">T will </w:t>
            </w:r>
            <w:r w:rsidR="00C2649F">
              <w:rPr>
                <w:rFonts w:ascii="Arial" w:hAnsi="Arial"/>
                <w:sz w:val="20"/>
              </w:rPr>
              <w:t>show a part of “Monty Python and the Holy Grail” in which the king of ‘the</w:t>
            </w:r>
            <w:r w:rsidR="00CF3EE0">
              <w:rPr>
                <w:rFonts w:ascii="Arial" w:hAnsi="Arial"/>
                <w:sz w:val="20"/>
              </w:rPr>
              <w:t xml:space="preserve"> Britons’ argues with a peasant </w:t>
            </w:r>
            <w:r w:rsidR="000755D7">
              <w:rPr>
                <w:rFonts w:ascii="Arial" w:hAnsi="Arial"/>
                <w:sz w:val="20"/>
              </w:rPr>
              <w:t>(5</w:t>
            </w:r>
            <w:r w:rsidR="003C3C56">
              <w:rPr>
                <w:rFonts w:ascii="Arial" w:hAnsi="Arial"/>
                <w:sz w:val="20"/>
              </w:rPr>
              <w:t xml:space="preserve"> min)</w:t>
            </w:r>
          </w:p>
        </w:tc>
      </w:tr>
      <w:tr w:rsidR="003B60FE" w14:paraId="5D08F3EB" w14:textId="77777777" w:rsidTr="3E20F38B">
        <w:trPr>
          <w:trHeight w:val="10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E5352" w14:textId="503D45AE" w:rsidR="0027230A" w:rsidRDefault="000C23FD" w:rsidP="000C36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Resources and Materials</w:t>
            </w:r>
            <w:r>
              <w:rPr>
                <w:rFonts w:ascii="Arial" w:hAnsi="Arial"/>
              </w:rPr>
              <w:t xml:space="preserve"> </w:t>
            </w:r>
            <w:r w:rsidR="00A556D8">
              <w:rPr>
                <w:rFonts w:ascii="Arial" w:hAnsi="Arial"/>
                <w:sz w:val="20"/>
              </w:rPr>
              <w:t xml:space="preserve">‘Monty Python and the Holy Grail’; PowerPoint Slideshow; cards that explain the roles of the king, the baron, and the peasant; </w:t>
            </w:r>
            <w:r w:rsidR="000C368F">
              <w:rPr>
                <w:rFonts w:ascii="Arial" w:hAnsi="Arial"/>
                <w:sz w:val="20"/>
              </w:rPr>
              <w:t>list of feudal duties</w:t>
            </w:r>
          </w:p>
        </w:tc>
      </w:tr>
      <w:tr w:rsidR="003B60FE" w14:paraId="78329684" w14:textId="77777777" w:rsidTr="3E20F38B">
        <w:trPr>
          <w:trHeight w:val="1952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8EC" w14:textId="51478F7B" w:rsidR="003B60FE" w:rsidRPr="003754DF" w:rsidRDefault="00C052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Teacher-led Discussion</w:t>
            </w:r>
            <w:r w:rsidR="003754DF">
              <w:rPr>
                <w:rFonts w:ascii="Arial" w:hAnsi="Arial"/>
              </w:rPr>
              <w:t xml:space="preserve"> </w:t>
            </w:r>
            <w:r w:rsidR="003754DF">
              <w:rPr>
                <w:rFonts w:ascii="Arial" w:hAnsi="Arial"/>
                <w:sz w:val="20"/>
                <w:szCs w:val="20"/>
              </w:rPr>
              <w:t xml:space="preserve">T </w:t>
            </w:r>
            <w:r w:rsidR="00D67C2A">
              <w:rPr>
                <w:rFonts w:ascii="Arial" w:hAnsi="Arial"/>
                <w:sz w:val="20"/>
                <w:szCs w:val="20"/>
              </w:rPr>
              <w:t>shows a slideshow that shows discusses the main ideas of feudalism and the reasons that these were the bonds of society that existed</w:t>
            </w:r>
            <w:r w:rsidR="00200CF1">
              <w:rPr>
                <w:rFonts w:ascii="Arial" w:hAnsi="Arial"/>
                <w:sz w:val="20"/>
                <w:szCs w:val="20"/>
              </w:rPr>
              <w:t xml:space="preserve"> (10 min)</w:t>
            </w:r>
          </w:p>
          <w:p w14:paraId="4FFE9119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C4294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EB9990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238FF85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2EA858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4328C613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3D5FBF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EFDA0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F8D21D8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736E2CD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821A57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48683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A49C67B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78001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65D7F4D" w14:textId="77777777" w:rsidR="003B60FE" w:rsidRDefault="003B60FE">
            <w:pPr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3CD0" w14:textId="18257137" w:rsidR="003B60FE" w:rsidRDefault="00B80AD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Jigsaw Learning</w:t>
            </w:r>
            <w:r w:rsidR="000C0707">
              <w:rPr>
                <w:rFonts w:ascii="Arial" w:hAnsi="Arial"/>
                <w:b/>
              </w:rPr>
              <w:t xml:space="preserve"> </w:t>
            </w:r>
            <w:proofErr w:type="spellStart"/>
            <w:r w:rsidR="00E049BE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</w:rPr>
              <w:t>s</w:t>
            </w:r>
            <w:proofErr w:type="spellEnd"/>
            <w:r>
              <w:rPr>
                <w:rFonts w:ascii="Arial" w:hAnsi="Arial"/>
                <w:sz w:val="20"/>
              </w:rPr>
              <w:t xml:space="preserve"> teach each other the role that each person in the feudal system played</w:t>
            </w:r>
            <w:r w:rsidR="00686616">
              <w:rPr>
                <w:rFonts w:ascii="Arial" w:hAnsi="Arial"/>
                <w:sz w:val="20"/>
              </w:rPr>
              <w:t xml:space="preserve"> (feudal figures: king,</w:t>
            </w:r>
            <w:r w:rsidR="004C7C1C">
              <w:rPr>
                <w:rFonts w:ascii="Arial" w:hAnsi="Arial"/>
                <w:sz w:val="20"/>
              </w:rPr>
              <w:t xml:space="preserve"> clergyman,</w:t>
            </w:r>
            <w:r w:rsidR="00686616">
              <w:rPr>
                <w:rFonts w:ascii="Arial" w:hAnsi="Arial"/>
                <w:sz w:val="20"/>
              </w:rPr>
              <w:t xml:space="preserve"> nobleman, peasant)</w:t>
            </w:r>
            <w:r w:rsidR="00D321F3">
              <w:rPr>
                <w:rFonts w:ascii="Arial" w:hAnsi="Arial"/>
                <w:sz w:val="20"/>
              </w:rPr>
              <w:t xml:space="preserve"> (20</w:t>
            </w:r>
            <w:r w:rsidR="003C3C56">
              <w:rPr>
                <w:rFonts w:ascii="Arial" w:hAnsi="Arial"/>
                <w:sz w:val="20"/>
              </w:rPr>
              <w:t xml:space="preserve"> min)</w:t>
            </w:r>
          </w:p>
          <w:p w14:paraId="38630D38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EDBEA9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420A1C57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FE38AB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B10521F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50FFCC8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4CF28500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34E68" w14:textId="3D236ADC" w:rsidR="003B60FE" w:rsidRPr="009E3D40" w:rsidRDefault="008A6AFC" w:rsidP="003F24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Transition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E3D40">
              <w:rPr>
                <w:rFonts w:ascii="Arial" w:hAnsi="Arial"/>
                <w:sz w:val="20"/>
                <w:szCs w:val="20"/>
              </w:rPr>
              <w:t xml:space="preserve">Class </w:t>
            </w:r>
            <w:r w:rsidR="00D84766">
              <w:rPr>
                <w:rFonts w:ascii="Arial" w:hAnsi="Arial"/>
                <w:sz w:val="20"/>
                <w:szCs w:val="20"/>
              </w:rPr>
              <w:t xml:space="preserve">goes over the answers on board; </w:t>
            </w:r>
            <w:proofErr w:type="spellStart"/>
            <w:r w:rsidR="00D84766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D84766">
              <w:rPr>
                <w:rFonts w:ascii="Arial" w:hAnsi="Arial"/>
                <w:sz w:val="20"/>
                <w:szCs w:val="20"/>
              </w:rPr>
              <w:t xml:space="preserve"> write the roles on the board (5 min)</w:t>
            </w:r>
          </w:p>
        </w:tc>
      </w:tr>
      <w:tr w:rsidR="00A902CF" w14:paraId="3368E621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368D0" w14:textId="5F16C4DE" w:rsidR="00A902CF" w:rsidRPr="00A902CF" w:rsidRDefault="0091528B" w:rsidP="00DD62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Selection of Feudal Duties</w:t>
            </w:r>
            <w:r w:rsidR="00887FEA">
              <w:rPr>
                <w:rFonts w:ascii="Arial" w:hAnsi="Arial"/>
              </w:rPr>
              <w:t xml:space="preserve"> </w:t>
            </w:r>
            <w:proofErr w:type="spellStart"/>
            <w:r w:rsidR="003F249C" w:rsidRPr="008A6AFC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3F249C" w:rsidRPr="008A6AFC">
              <w:rPr>
                <w:rFonts w:ascii="Arial" w:hAnsi="Arial"/>
                <w:sz w:val="20"/>
                <w:szCs w:val="20"/>
              </w:rPr>
              <w:t xml:space="preserve"> </w:t>
            </w:r>
            <w:r w:rsidR="00DD620E">
              <w:rPr>
                <w:rFonts w:ascii="Arial" w:hAnsi="Arial"/>
                <w:sz w:val="20"/>
                <w:szCs w:val="20"/>
              </w:rPr>
              <w:t>view a list of feudal dues that are owed to a lord by a peasant; then they select the five most important dues and rank them (10</w:t>
            </w:r>
            <w:r w:rsidR="00693312">
              <w:rPr>
                <w:rFonts w:ascii="Arial" w:hAnsi="Arial"/>
                <w:sz w:val="20"/>
                <w:szCs w:val="20"/>
              </w:rPr>
              <w:t xml:space="preserve"> min)</w:t>
            </w:r>
          </w:p>
        </w:tc>
      </w:tr>
      <w:tr w:rsidR="00F575D4" w14:paraId="5787411D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C8DC2" w14:textId="27A5711D" w:rsidR="00F575D4" w:rsidRPr="00F575D4" w:rsidRDefault="00564801" w:rsidP="00BD3ED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lastRenderedPageBreak/>
              <w:t>Proclamation of Feudal Duties</w:t>
            </w:r>
            <w:r w:rsidR="00F575D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F575D4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0755D7">
              <w:rPr>
                <w:rFonts w:ascii="Arial" w:hAnsi="Arial"/>
                <w:sz w:val="20"/>
                <w:szCs w:val="20"/>
              </w:rPr>
              <w:t xml:space="preserve"> </w:t>
            </w:r>
            <w:r w:rsidR="00BD3ED8">
              <w:rPr>
                <w:rFonts w:ascii="Arial" w:hAnsi="Arial"/>
                <w:sz w:val="20"/>
                <w:szCs w:val="20"/>
              </w:rPr>
              <w:t xml:space="preserve">play the role of a lord who is announcing to the peasants of his estate the duties that are owed him and writes them down in a mock letter to the serfs </w:t>
            </w:r>
            <w:r w:rsidR="006A5342">
              <w:rPr>
                <w:rFonts w:ascii="Arial" w:hAnsi="Arial"/>
                <w:sz w:val="20"/>
                <w:szCs w:val="20"/>
              </w:rPr>
              <w:t>(</w:t>
            </w:r>
            <w:r w:rsidR="00271BD4">
              <w:rPr>
                <w:rFonts w:ascii="Arial" w:hAnsi="Arial"/>
                <w:sz w:val="20"/>
                <w:szCs w:val="20"/>
              </w:rPr>
              <w:t>25</w:t>
            </w:r>
            <w:r w:rsidR="006A5342">
              <w:rPr>
                <w:rFonts w:ascii="Arial" w:hAnsi="Arial"/>
                <w:sz w:val="20"/>
                <w:szCs w:val="20"/>
              </w:rPr>
              <w:t xml:space="preserve"> min)</w:t>
            </w:r>
          </w:p>
        </w:tc>
      </w:tr>
      <w:tr w:rsidR="007C5D47" w14:paraId="341B8700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F6891" w14:textId="076A61B6" w:rsidR="007C5D47" w:rsidRPr="007C5D47" w:rsidRDefault="006A5342" w:rsidP="00200C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Closing</w:t>
            </w:r>
            <w:r w:rsidR="007C5D47">
              <w:rPr>
                <w:rFonts w:ascii="Arial" w:hAnsi="Arial"/>
                <w:sz w:val="20"/>
                <w:szCs w:val="20"/>
              </w:rPr>
              <w:t xml:space="preserve"> </w:t>
            </w:r>
            <w:r w:rsidR="00A6585F">
              <w:rPr>
                <w:rFonts w:ascii="Arial" w:hAnsi="Arial"/>
                <w:sz w:val="20"/>
                <w:szCs w:val="20"/>
              </w:rPr>
              <w:t>Class goes over the more pertinent feudal duties and explains why these duties were so important to the economy of the estate; T writes ideas on board</w:t>
            </w:r>
            <w:r w:rsidR="009C13A3">
              <w:rPr>
                <w:rFonts w:ascii="Arial" w:hAnsi="Arial"/>
                <w:sz w:val="20"/>
                <w:szCs w:val="20"/>
              </w:rPr>
              <w:t xml:space="preserve"> (</w:t>
            </w:r>
            <w:r w:rsidR="00200CF1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 xml:space="preserve"> min)</w:t>
            </w:r>
          </w:p>
        </w:tc>
      </w:tr>
      <w:tr w:rsidR="003B60FE" w14:paraId="579375FF" w14:textId="77777777" w:rsidTr="3E20F38B">
        <w:trPr>
          <w:trHeight w:val="10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9B1E2" w14:textId="36B8DFE9" w:rsidR="003B60FE" w:rsidRDefault="00D709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Check for understanding</w:t>
            </w:r>
            <w:r>
              <w:rPr>
                <w:rFonts w:ascii="Arial" w:hAnsi="Arial"/>
              </w:rPr>
              <w:t xml:space="preserve"> </w:t>
            </w:r>
            <w:r w:rsidR="00204ABC">
              <w:rPr>
                <w:rFonts w:ascii="Arial" w:hAnsi="Arial"/>
                <w:sz w:val="20"/>
              </w:rPr>
              <w:t xml:space="preserve">CCQs will be used </w:t>
            </w:r>
            <w:r w:rsidR="00D64088">
              <w:rPr>
                <w:rFonts w:ascii="Arial" w:hAnsi="Arial"/>
                <w:sz w:val="20"/>
              </w:rPr>
              <w:t xml:space="preserve">to assess </w:t>
            </w:r>
            <w:r w:rsidR="00F90A36">
              <w:rPr>
                <w:rFonts w:ascii="Arial" w:hAnsi="Arial"/>
                <w:sz w:val="20"/>
              </w:rPr>
              <w:t xml:space="preserve">what </w:t>
            </w:r>
            <w:proofErr w:type="spellStart"/>
            <w:r w:rsidR="00F90A36">
              <w:rPr>
                <w:rFonts w:ascii="Arial" w:hAnsi="Arial"/>
                <w:sz w:val="20"/>
              </w:rPr>
              <w:t>Ss</w:t>
            </w:r>
            <w:proofErr w:type="spellEnd"/>
            <w:r w:rsidR="00F90A36">
              <w:rPr>
                <w:rFonts w:ascii="Arial" w:hAnsi="Arial"/>
                <w:sz w:val="20"/>
              </w:rPr>
              <w:t xml:space="preserve"> are learning as they listen to my lecture on feudalism</w:t>
            </w:r>
            <w:r w:rsidR="006F6D92">
              <w:rPr>
                <w:rFonts w:ascii="Arial" w:hAnsi="Arial"/>
                <w:sz w:val="20"/>
              </w:rPr>
              <w:t xml:space="preserve">; </w:t>
            </w:r>
            <w:proofErr w:type="spellStart"/>
            <w:r w:rsidR="006F6D92">
              <w:rPr>
                <w:rFonts w:ascii="Arial" w:hAnsi="Arial"/>
                <w:sz w:val="20"/>
              </w:rPr>
              <w:t>Ss</w:t>
            </w:r>
            <w:proofErr w:type="spellEnd"/>
            <w:r w:rsidR="006F6D92">
              <w:rPr>
                <w:rFonts w:ascii="Arial" w:hAnsi="Arial"/>
                <w:sz w:val="20"/>
              </w:rPr>
              <w:t xml:space="preserve"> will show their understanding of the classes of the peasants and the aristocracy as they write down the roles of those respective groups in the transition</w:t>
            </w:r>
          </w:p>
          <w:p w14:paraId="3D58D82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CB2DA9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2AC3AD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C4C06D0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2D3DA3F1" w14:textId="77777777" w:rsidTr="3E20F38B">
        <w:trPr>
          <w:trHeight w:val="1259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13C2731" w14:textId="77777777" w:rsidR="003B60FE" w:rsidRDefault="000C23FD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</w:rPr>
              <w:t>Reflection</w:t>
            </w:r>
            <w:r w:rsidR="00D7090D">
              <w:rPr>
                <w:rFonts w:ascii="Arial" w:hAnsi="Arial"/>
                <w:b w:val="0"/>
              </w:rPr>
              <w:t xml:space="preserve"> </w:t>
            </w:r>
            <w:r w:rsidR="00D7090D">
              <w:rPr>
                <w:rFonts w:ascii="Arial" w:hAnsi="Arial"/>
                <w:b w:val="0"/>
                <w:sz w:val="20"/>
              </w:rPr>
              <w:t>(</w:t>
            </w:r>
            <w:r>
              <w:rPr>
                <w:rFonts w:ascii="Arial" w:hAnsi="Arial"/>
                <w:b w:val="0"/>
                <w:sz w:val="20"/>
              </w:rPr>
              <w:t>What went well?  What might you change?  H</w:t>
            </w:r>
            <w:r w:rsidR="00D7090D">
              <w:rPr>
                <w:rFonts w:ascii="Arial" w:hAnsi="Arial"/>
                <w:b w:val="0"/>
                <w:sz w:val="20"/>
              </w:rPr>
              <w:t>ow does this lesson relate to assignments/homework/readings)</w:t>
            </w:r>
          </w:p>
          <w:p w14:paraId="0AC01FBC" w14:textId="77777777" w:rsidR="003B60FE" w:rsidRDefault="003B60FE"/>
          <w:p w14:paraId="01792E3D" w14:textId="77777777" w:rsidR="003B60FE" w:rsidRDefault="003B60FE"/>
          <w:p w14:paraId="60803EBD" w14:textId="77777777" w:rsidR="003B60FE" w:rsidRDefault="003B60FE"/>
          <w:p w14:paraId="4636B265" w14:textId="77777777" w:rsidR="003B60FE" w:rsidRDefault="003B60FE"/>
        </w:tc>
      </w:tr>
    </w:tbl>
    <w:p w14:paraId="43D25D2E" w14:textId="77777777" w:rsidR="003B60FE" w:rsidRDefault="003B60FE">
      <w:pPr>
        <w:rPr>
          <w:rFonts w:ascii="Arial" w:hAnsi="Arial"/>
        </w:rPr>
      </w:pPr>
    </w:p>
    <w:sectPr w:rsidR="003B60FE" w:rsidSect="003B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432" w:left="86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3AB2" w14:textId="77777777" w:rsidR="003E40CF" w:rsidRDefault="003E40CF">
      <w:r>
        <w:separator/>
      </w:r>
    </w:p>
  </w:endnote>
  <w:endnote w:type="continuationSeparator" w:id="0">
    <w:p w14:paraId="168F7253" w14:textId="77777777" w:rsidR="003E40CF" w:rsidRDefault="003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804C" w14:textId="77777777" w:rsidR="007E04DD" w:rsidRDefault="007E0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3BFC" w14:textId="77777777" w:rsidR="003B60FE" w:rsidRDefault="007E04DD">
    <w:pPr>
      <w:pStyle w:val="Footer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The Centre for Teaching &amp; Learning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1E6E" w14:textId="77777777" w:rsidR="007E04DD" w:rsidRDefault="007E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86731" w14:textId="77777777" w:rsidR="003E40CF" w:rsidRDefault="003E40CF">
      <w:r>
        <w:separator/>
      </w:r>
    </w:p>
  </w:footnote>
  <w:footnote w:type="continuationSeparator" w:id="0">
    <w:p w14:paraId="677EAFC5" w14:textId="77777777" w:rsidR="003E40CF" w:rsidRDefault="003E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09A1" w14:textId="77777777" w:rsidR="007E04DD" w:rsidRDefault="007E0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86AB" w14:textId="77777777" w:rsidR="003B60FE" w:rsidRDefault="00D7090D">
    <w:pPr>
      <w:pStyle w:val="Header"/>
      <w:jc w:val="center"/>
      <w:rPr>
        <w:rFonts w:ascii="Arial Rounded MT Bold" w:hAnsi="Arial Rounded MT Bold"/>
        <w:b/>
        <w:sz w:val="32"/>
      </w:rPr>
    </w:pPr>
    <w:r>
      <w:rPr>
        <w:rFonts w:ascii="Arial Rounded MT Bold" w:hAnsi="Arial Rounded MT Bold"/>
        <w:b/>
        <w:sz w:val="32"/>
      </w:rPr>
      <w:t>LESSON PLAN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4C19" w14:textId="77777777" w:rsidR="007E04DD" w:rsidRDefault="007E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72E6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D"/>
    <w:rsid w:val="000110E6"/>
    <w:rsid w:val="0007325D"/>
    <w:rsid w:val="000755D7"/>
    <w:rsid w:val="00080947"/>
    <w:rsid w:val="000A13B7"/>
    <w:rsid w:val="000C0707"/>
    <w:rsid w:val="000C23FD"/>
    <w:rsid w:val="000C368F"/>
    <w:rsid w:val="000E3B1E"/>
    <w:rsid w:val="00136E3F"/>
    <w:rsid w:val="001852C1"/>
    <w:rsid w:val="001C7EA0"/>
    <w:rsid w:val="001D7680"/>
    <w:rsid w:val="00200CF1"/>
    <w:rsid w:val="00204ABC"/>
    <w:rsid w:val="002301AB"/>
    <w:rsid w:val="0024692D"/>
    <w:rsid w:val="00260629"/>
    <w:rsid w:val="00270C8C"/>
    <w:rsid w:val="00271BD4"/>
    <w:rsid w:val="0027230A"/>
    <w:rsid w:val="00276F76"/>
    <w:rsid w:val="002A32DD"/>
    <w:rsid w:val="002F28FA"/>
    <w:rsid w:val="00305807"/>
    <w:rsid w:val="003076A2"/>
    <w:rsid w:val="00330BA0"/>
    <w:rsid w:val="003318FD"/>
    <w:rsid w:val="003532C8"/>
    <w:rsid w:val="003754DF"/>
    <w:rsid w:val="0038548B"/>
    <w:rsid w:val="003B4890"/>
    <w:rsid w:val="003B60FE"/>
    <w:rsid w:val="003C3C56"/>
    <w:rsid w:val="003E40CF"/>
    <w:rsid w:val="003F249C"/>
    <w:rsid w:val="00403190"/>
    <w:rsid w:val="004B6DD5"/>
    <w:rsid w:val="004C7C1C"/>
    <w:rsid w:val="0050786F"/>
    <w:rsid w:val="00555886"/>
    <w:rsid w:val="00564801"/>
    <w:rsid w:val="005965FE"/>
    <w:rsid w:val="005B2472"/>
    <w:rsid w:val="005C3E4B"/>
    <w:rsid w:val="005D69BE"/>
    <w:rsid w:val="00600FA9"/>
    <w:rsid w:val="006440CC"/>
    <w:rsid w:val="0064576E"/>
    <w:rsid w:val="00650336"/>
    <w:rsid w:val="00677BE9"/>
    <w:rsid w:val="00686616"/>
    <w:rsid w:val="00693312"/>
    <w:rsid w:val="006A5342"/>
    <w:rsid w:val="006A703B"/>
    <w:rsid w:val="006D39F5"/>
    <w:rsid w:val="006E1D01"/>
    <w:rsid w:val="006F6D92"/>
    <w:rsid w:val="007852AE"/>
    <w:rsid w:val="007C271C"/>
    <w:rsid w:val="007C5D47"/>
    <w:rsid w:val="007E04DD"/>
    <w:rsid w:val="007E3AAF"/>
    <w:rsid w:val="00806940"/>
    <w:rsid w:val="00825E67"/>
    <w:rsid w:val="00836C1B"/>
    <w:rsid w:val="00847FC4"/>
    <w:rsid w:val="00856206"/>
    <w:rsid w:val="0086468B"/>
    <w:rsid w:val="00887FEA"/>
    <w:rsid w:val="008A6AFC"/>
    <w:rsid w:val="008A7A78"/>
    <w:rsid w:val="008B602B"/>
    <w:rsid w:val="00912FA3"/>
    <w:rsid w:val="0091528B"/>
    <w:rsid w:val="009313FD"/>
    <w:rsid w:val="009451AE"/>
    <w:rsid w:val="0096209C"/>
    <w:rsid w:val="00972192"/>
    <w:rsid w:val="009B4D2A"/>
    <w:rsid w:val="009B79E5"/>
    <w:rsid w:val="009C13A3"/>
    <w:rsid w:val="009C4578"/>
    <w:rsid w:val="009E3D40"/>
    <w:rsid w:val="00A461AE"/>
    <w:rsid w:val="00A50612"/>
    <w:rsid w:val="00A5522D"/>
    <w:rsid w:val="00A556D8"/>
    <w:rsid w:val="00A6585F"/>
    <w:rsid w:val="00A77827"/>
    <w:rsid w:val="00A902CF"/>
    <w:rsid w:val="00A94707"/>
    <w:rsid w:val="00AB4EA6"/>
    <w:rsid w:val="00AD220A"/>
    <w:rsid w:val="00AF6562"/>
    <w:rsid w:val="00B1567F"/>
    <w:rsid w:val="00B55DF3"/>
    <w:rsid w:val="00B80AD9"/>
    <w:rsid w:val="00BD3ED8"/>
    <w:rsid w:val="00C05282"/>
    <w:rsid w:val="00C2649F"/>
    <w:rsid w:val="00C5760C"/>
    <w:rsid w:val="00C75D9B"/>
    <w:rsid w:val="00C82538"/>
    <w:rsid w:val="00C84B98"/>
    <w:rsid w:val="00CB0B49"/>
    <w:rsid w:val="00CD32D7"/>
    <w:rsid w:val="00CD7E5A"/>
    <w:rsid w:val="00CF3EE0"/>
    <w:rsid w:val="00D06B99"/>
    <w:rsid w:val="00D321F3"/>
    <w:rsid w:val="00D344CA"/>
    <w:rsid w:val="00D406E5"/>
    <w:rsid w:val="00D64088"/>
    <w:rsid w:val="00D67C2A"/>
    <w:rsid w:val="00D7090D"/>
    <w:rsid w:val="00D84766"/>
    <w:rsid w:val="00D86DA4"/>
    <w:rsid w:val="00DA2C4F"/>
    <w:rsid w:val="00DD389E"/>
    <w:rsid w:val="00DD620E"/>
    <w:rsid w:val="00DD6CE9"/>
    <w:rsid w:val="00DE1F37"/>
    <w:rsid w:val="00DF0C18"/>
    <w:rsid w:val="00E049BE"/>
    <w:rsid w:val="00E0725A"/>
    <w:rsid w:val="00E10923"/>
    <w:rsid w:val="00E133A4"/>
    <w:rsid w:val="00E17BFC"/>
    <w:rsid w:val="00E21F26"/>
    <w:rsid w:val="00E333EA"/>
    <w:rsid w:val="00E541DB"/>
    <w:rsid w:val="00E5687A"/>
    <w:rsid w:val="00E66B44"/>
    <w:rsid w:val="00F07ADB"/>
    <w:rsid w:val="00F10A23"/>
    <w:rsid w:val="00F211E6"/>
    <w:rsid w:val="00F26C24"/>
    <w:rsid w:val="00F4207D"/>
    <w:rsid w:val="00F575D4"/>
    <w:rsid w:val="00F90A36"/>
    <w:rsid w:val="00FA6D1E"/>
    <w:rsid w:val="00FB4BBE"/>
    <w:rsid w:val="00FB656A"/>
    <w:rsid w:val="00FC765B"/>
    <w:rsid w:val="00FF5A75"/>
    <w:rsid w:val="3E20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B21F"/>
  <w14:defaultImageDpi w14:val="300"/>
  <w15:chartTrackingRefBased/>
  <w15:docId w15:val="{F15EF2C8-E973-4D64-BD3A-DE253CA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FE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3B60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6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60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Lesson</vt:lpstr>
    </vt:vector>
  </TitlesOfParts>
  <Company>Concordia University CTLS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Lesson</dc:title>
  <dc:subject/>
  <dc:creator>Larissa A. Yousoubova</dc:creator>
  <cp:keywords/>
  <cp:lastModifiedBy>Sam Spetifore</cp:lastModifiedBy>
  <cp:revision>16</cp:revision>
  <cp:lastPrinted>2009-09-01T13:07:00Z</cp:lastPrinted>
  <dcterms:created xsi:type="dcterms:W3CDTF">2015-01-05T01:23:00Z</dcterms:created>
  <dcterms:modified xsi:type="dcterms:W3CDTF">2015-02-05T00:02:00Z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672263340</vt:i4>
  </property>
  <property fmtid="{D5CDD505-2E9C-101B-9397-08002B2CF9AE}" pid="3" name="_EmailSubject">
    <vt:lpwstr>Lesson Template</vt:lpwstr>
  </property>
  <property fmtid="{D5CDD505-2E9C-101B-9397-08002B2CF9AE}" pid="4" name="_AuthorEmail">
    <vt:lpwstr>egirard@vela.concordia.ca</vt:lpwstr>
  </property>
  <property fmtid="{D5CDD505-2E9C-101B-9397-08002B2CF9AE}" pid="5" name="_AuthorEmailDisplayName">
    <vt:lpwstr>Eve Girard</vt:lpwstr>
  </property>
  <property fmtid="{D5CDD505-2E9C-101B-9397-08002B2CF9AE}" pid="6" name="_ReviewingToolsShownOnce">
    <vt:lpwstr/>
  </property>
</Properties>
</file>